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 Vazaios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Vazaios,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Ferguson,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 Vazaios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 Ferguson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piecemeal,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Timothy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 Ferguson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 Vazaios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multilateral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 Ferguson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25-plus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nine-plus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exponential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lofty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lofty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 Vazaios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Vassilis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Kaskarelis,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Gibraltar,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Montenegro,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Mongolia,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UAE,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Seychelles,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 Vazaios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 Ferguson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multilaterals.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UNFPA,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Balkans,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UNHCR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Evangelista,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UNHCR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H&amp;M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Evangelista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Eurasia,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Gallegos,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 Vazaios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 Ferguson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education-focused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 Vazaios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 Ferguson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Stavros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Niarchos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 Ferguson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 Vazaios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 Ferguson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Panos Vazaios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IRR 6x5 (Completed  06/24/24)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25,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bhpCODpYRrWh19Ee83UcHWn4EFJdDNd_X7-ixWQE4yMep16jb8N2wKa26FCSlvQ6Acvnmwa785H5U8aW6EzJPRSFewQ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