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Palumbo.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Shriver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 Palumbo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Shriver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cubicle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Palumbo,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cubicle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cubicle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 Palumbo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cubicle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 Palumbo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time...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appetite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Nigeria,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milieu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Shriver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 Palumbo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 Palumbo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classmate,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Shriver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Loretta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Claiborne,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well-known,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world-renowned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stones?"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Loretta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eight-year-old,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Loretta.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cubicle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 Palumbo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riffs.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cafeteria,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 Palumbo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 Palumbo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tablecloth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cafeteria,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overcomplicate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tablecloth.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tablecloth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tablecloth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tablecloth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tablecloth,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Shriver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chirping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countercultural.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countercultural,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nearby.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 Palumbo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 Palumbo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exclusion?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clumsy.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100-meter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atrophy.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Shriver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thereafter.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wristbands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 Palumbo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flippantly.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homogenous.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dignified,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Shriver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are...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 Palumbo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Shriver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exponential.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 Palumbo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Olivia.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classmate,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dignified,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 Palumbo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Shriver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Spread the Word MP3 (Completed  03/27/24)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27,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W-oDH03Fe-ydlo3bwJkMFvYcsXSPIBfNE8iV48zG69u6APWaPYW7DCNZuMpmRfPbpsml8bm2LyfMwVjqIb4chXdO0os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