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Novie Craven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employee. On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ambassadors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00:00:29]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:00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with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Alcaraz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+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+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Alcaraz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+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+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Morrison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+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+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Jorge Alcaraz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echoing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+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+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Novie Craven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have been left out?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Jorge Alcaraz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+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discrimination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wheelchairs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Novie Craven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Morrison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Inclusion's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+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+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advertising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Novie Craven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answer.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+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Jorge Alcaraz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I'll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+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are saying,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+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+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candidates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supervisors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accommodation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+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+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+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Novie Craven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+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for any organization?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Jorge Alcaraz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Definitely.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Kimpton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LBGTQ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+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brainstorm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Morrison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logistically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brainstorming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Novie Craven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+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Jorge Alcaraz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metropolitan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+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Morrison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+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 you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Novie Craven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+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Morrison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franchise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Novie Craven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does inclusion mean to 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 Morrison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Jorge Alcaraz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+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Novie Craven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Chris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great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+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continue to do for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A+P MP3 (Completed  03/14/23)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Mar 14,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CS6TnRvHeUCIYJX5CAx4lhtICrY2AssiRsxalrPzNrZ1blLTrytEtAJ6a6ko1_4K5epmyZnq1rg4ntJJmu76koHPXWQ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