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85B" w:rsidRDefault="00383E48" w:rsidP="0012185B">
      <w:pPr>
        <w:pStyle w:val="Heading1"/>
        <w:spacing w:before="0" w:after="240"/>
        <w:jc w:val="center"/>
        <w:rPr>
          <w:sz w:val="28"/>
        </w:rPr>
      </w:pPr>
      <w:bookmarkStart w:id="0" w:name="_Toc45275440"/>
      <w:bookmarkStart w:id="1" w:name="_GoBack"/>
      <w:bookmarkEnd w:id="1"/>
      <w:r w:rsidRPr="00383E48">
        <w:rPr>
          <w:noProof/>
          <w:sz w:val="28"/>
        </w:rPr>
        <w:drawing>
          <wp:anchor distT="0" distB="0" distL="114300" distR="114300" simplePos="0" relativeHeight="251661312" behindDoc="1" locked="0" layoutInCell="1" allowOverlap="1" wp14:anchorId="5B15E1E8" wp14:editId="718877BD">
            <wp:simplePos x="0" y="0"/>
            <wp:positionH relativeFrom="column">
              <wp:posOffset>-463550</wp:posOffset>
            </wp:positionH>
            <wp:positionV relativeFrom="paragraph">
              <wp:posOffset>-534035</wp:posOffset>
            </wp:positionV>
            <wp:extent cx="2643505" cy="8413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643505" cy="841375"/>
                    </a:xfrm>
                    <a:prstGeom prst="rect">
                      <a:avLst/>
                    </a:prstGeom>
                  </pic:spPr>
                </pic:pic>
              </a:graphicData>
            </a:graphic>
            <wp14:sizeRelH relativeFrom="page">
              <wp14:pctWidth>0</wp14:pctWidth>
            </wp14:sizeRelH>
            <wp14:sizeRelV relativeFrom="page">
              <wp14:pctHeight>0</wp14:pctHeight>
            </wp14:sizeRelV>
          </wp:anchor>
        </w:drawing>
      </w:r>
      <w:r w:rsidRPr="00383E48">
        <w:rPr>
          <w:noProof/>
          <w:sz w:val="28"/>
        </w:rPr>
        <mc:AlternateContent>
          <mc:Choice Requires="wps">
            <w:drawing>
              <wp:anchor distT="0" distB="0" distL="114300" distR="114300" simplePos="0" relativeHeight="251660288" behindDoc="0" locked="0" layoutInCell="1" allowOverlap="1" wp14:anchorId="33A41C8E" wp14:editId="39E84DCD">
                <wp:simplePos x="0" y="0"/>
                <wp:positionH relativeFrom="column">
                  <wp:posOffset>2317750</wp:posOffset>
                </wp:positionH>
                <wp:positionV relativeFrom="paragraph">
                  <wp:posOffset>-473710</wp:posOffset>
                </wp:positionV>
                <wp:extent cx="4597400" cy="9271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4597400" cy="927100"/>
                        </a:xfrm>
                        <a:prstGeom prst="rect">
                          <a:avLst/>
                        </a:prstGeom>
                        <a:noFill/>
                        <a:ln w="6350">
                          <a:noFill/>
                        </a:ln>
                      </wps:spPr>
                      <wps:txbx>
                        <w:txbxContent>
                          <w:p w:rsidR="003B3CCC" w:rsidRDefault="003B3CCC" w:rsidP="003B3CCC">
                            <w:pPr>
                              <w:spacing w:after="120" w:line="240" w:lineRule="auto"/>
                              <w:rPr>
                                <w:rFonts w:ascii="Ubuntu" w:hAnsi="Ubuntu"/>
                                <w:b/>
                                <w:color w:val="FFFFFF" w:themeColor="background1"/>
                              </w:rPr>
                            </w:pPr>
                            <w:r w:rsidRPr="003B3CCC">
                              <w:rPr>
                                <w:rFonts w:ascii="Ubuntu" w:hAnsi="Ubuntu"/>
                                <w:b/>
                                <w:color w:val="FFFFFF" w:themeColor="background1"/>
                              </w:rPr>
                              <w:t xml:space="preserve">The Issue: </w:t>
                            </w:r>
                          </w:p>
                          <w:p w:rsidR="003B3CCC" w:rsidRDefault="003B3CCC" w:rsidP="003B3CCC">
                            <w:pPr>
                              <w:spacing w:after="0" w:line="240" w:lineRule="auto"/>
                              <w:rPr>
                                <w:rFonts w:ascii="Ubuntu" w:hAnsi="Ubuntu"/>
                                <w:b/>
                                <w:color w:val="FFFFFF" w:themeColor="background1"/>
                              </w:rPr>
                            </w:pPr>
                            <w:r w:rsidRPr="003B3CCC">
                              <w:rPr>
                                <w:rFonts w:ascii="Ubuntu" w:hAnsi="Ubuntu"/>
                                <w:b/>
                                <w:color w:val="FFFFFF" w:themeColor="background1"/>
                              </w:rPr>
                              <w:t xml:space="preserve">Health Inequity for People with Intellectual Disabilities </w:t>
                            </w:r>
                          </w:p>
                          <w:p w:rsidR="00383E48" w:rsidRPr="003B3CCC" w:rsidRDefault="003B3CCC" w:rsidP="003B3CCC">
                            <w:pPr>
                              <w:spacing w:after="0" w:line="240" w:lineRule="auto"/>
                              <w:rPr>
                                <w:rFonts w:ascii="Ubuntu" w:hAnsi="Ubuntu"/>
                                <w:b/>
                                <w:color w:val="FFFFFF" w:themeColor="background1"/>
                              </w:rPr>
                            </w:pPr>
                            <w:r w:rsidRPr="003B3CCC">
                              <w:rPr>
                                <w:rFonts w:ascii="Ubuntu" w:hAnsi="Ubuntu"/>
                                <w:b/>
                                <w:color w:val="FFFFFF" w:themeColor="background1"/>
                              </w:rPr>
                              <w:t>in the COVID-19 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A41C8E" id="_x0000_t202" coordsize="21600,21600" o:spt="202" path="m,l,21600r21600,l21600,xe">
                <v:stroke joinstyle="miter"/>
                <v:path gradientshapeok="t" o:connecttype="rect"/>
              </v:shapetype>
              <v:shape id="Text Box 4" o:spid="_x0000_s1026" type="#_x0000_t202" style="position:absolute;left:0;text-align:left;margin-left:182.5pt;margin-top:-37.3pt;width:362pt;height:7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" filled="f" stroked="f" strokeweight=".5pt">
                <v:textbox>
                  <w:txbxContent>
                    <w:p w:rsidR="003B3CCC" w:rsidRDefault="003B3CCC" w:rsidP="003B3CCC">
                      <w:pPr>
                        <w:spacing w:after="120" w:line="240" w:lineRule="auto"/>
                        <w:rPr>
                          <w:rFonts w:ascii="Ubuntu" w:hAnsi="Ubuntu"/>
                          <w:b/>
                          <w:color w:val="FFFFFF" w:themeColor="background1"/>
                        </w:rPr>
                      </w:pPr>
                      <w:r w:rsidRPr="003B3CCC">
                        <w:rPr>
                          <w:rFonts w:ascii="Ubuntu" w:hAnsi="Ubuntu"/>
                          <w:b/>
                          <w:color w:val="FFFFFF" w:themeColor="background1"/>
                        </w:rPr>
                        <w:t xml:space="preserve">The Issue: </w:t>
                      </w:r>
                    </w:p>
                    <w:p w:rsidR="003B3CCC" w:rsidRDefault="003B3CCC" w:rsidP="003B3CCC">
                      <w:pPr>
                        <w:spacing w:after="0" w:line="240" w:lineRule="auto"/>
                        <w:rPr>
                          <w:rFonts w:ascii="Ubuntu" w:hAnsi="Ubuntu"/>
                          <w:b/>
                          <w:color w:val="FFFFFF" w:themeColor="background1"/>
                        </w:rPr>
                      </w:pPr>
                      <w:r w:rsidRPr="003B3CCC">
                        <w:rPr>
                          <w:rFonts w:ascii="Ubuntu" w:hAnsi="Ubuntu"/>
                          <w:b/>
                          <w:color w:val="FFFFFF" w:themeColor="background1"/>
                        </w:rPr>
                        <w:t xml:space="preserve">Health Inequity for People with Intellectual Disabilities </w:t>
                      </w:r>
                    </w:p>
                    <w:p w:rsidR="00383E48" w:rsidRPr="003B3CCC" w:rsidRDefault="003B3CCC" w:rsidP="003B3CCC">
                      <w:pPr>
                        <w:spacing w:after="0" w:line="240" w:lineRule="auto"/>
                        <w:rPr>
                          <w:rFonts w:ascii="Ubuntu" w:hAnsi="Ubuntu"/>
                          <w:b/>
                          <w:color w:val="FFFFFF" w:themeColor="background1"/>
                        </w:rPr>
                      </w:pPr>
                      <w:proofErr w:type="gramStart"/>
                      <w:r w:rsidRPr="003B3CCC">
                        <w:rPr>
                          <w:rFonts w:ascii="Ubuntu" w:hAnsi="Ubuntu"/>
                          <w:b/>
                          <w:color w:val="FFFFFF" w:themeColor="background1"/>
                        </w:rPr>
                        <w:t>in</w:t>
                      </w:r>
                      <w:proofErr w:type="gramEnd"/>
                      <w:r w:rsidRPr="003B3CCC">
                        <w:rPr>
                          <w:rFonts w:ascii="Ubuntu" w:hAnsi="Ubuntu"/>
                          <w:b/>
                          <w:color w:val="FFFFFF" w:themeColor="background1"/>
                        </w:rPr>
                        <w:t xml:space="preserve"> the COVID-19 Era</w:t>
                      </w:r>
                    </w:p>
                  </w:txbxContent>
                </v:textbox>
              </v:shape>
            </w:pict>
          </mc:Fallback>
        </mc:AlternateContent>
      </w:r>
      <w:r w:rsidRPr="00383E48">
        <w:rPr>
          <w:noProof/>
          <w:sz w:val="28"/>
        </w:rPr>
        <w:drawing>
          <wp:anchor distT="0" distB="0" distL="114300" distR="114300" simplePos="0" relativeHeight="251659264" behindDoc="1" locked="0" layoutInCell="1" allowOverlap="1" wp14:anchorId="1AE7BE14" wp14:editId="4773BB24">
            <wp:simplePos x="0" y="0"/>
            <wp:positionH relativeFrom="column">
              <wp:posOffset>-895350</wp:posOffset>
            </wp:positionH>
            <wp:positionV relativeFrom="paragraph">
              <wp:posOffset>-914400</wp:posOffset>
            </wp:positionV>
            <wp:extent cx="7942580" cy="2971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942580" cy="2971800"/>
                    </a:xfrm>
                    <a:prstGeom prst="rect">
                      <a:avLst/>
                    </a:prstGeom>
                  </pic:spPr>
                </pic:pic>
              </a:graphicData>
            </a:graphic>
            <wp14:sizeRelH relativeFrom="page">
              <wp14:pctWidth>0</wp14:pctWidth>
            </wp14:sizeRelH>
            <wp14:sizeRelV relativeFrom="page">
              <wp14:pctHeight>0</wp14:pctHeight>
            </wp14:sizeRelV>
          </wp:anchor>
        </w:drawing>
      </w:r>
      <w:bookmarkEnd w:id="0"/>
    </w:p>
    <w:p w:rsidR="00383E48" w:rsidRDefault="00383E48" w:rsidP="00383E48"/>
    <w:p w:rsidR="00383E48" w:rsidRDefault="00383E48" w:rsidP="00383E48"/>
    <w:p w:rsidR="00383E48" w:rsidRPr="00383E48" w:rsidRDefault="00383E48" w:rsidP="00383E48"/>
    <w:p w:rsidR="0012185B" w:rsidRPr="00164C1B" w:rsidRDefault="0012185B" w:rsidP="0012185B">
      <w:pPr>
        <w:spacing w:after="120" w:line="240" w:lineRule="auto"/>
        <w:rPr>
          <w:rFonts w:ascii="Ubuntu" w:hAnsi="Ubuntu"/>
        </w:rPr>
      </w:pPr>
      <w:r w:rsidRPr="00164C1B">
        <w:rPr>
          <w:rFonts w:ascii="Ubuntu" w:hAnsi="Ubuntu"/>
          <w:b/>
        </w:rPr>
        <w:t>Fact #1:</w:t>
      </w:r>
      <w:r w:rsidRPr="00164C1B">
        <w:rPr>
          <w:rFonts w:ascii="Ubuntu" w:hAnsi="Ubuntu"/>
        </w:rPr>
        <w:t xml:space="preserve"> People with intellectual disabilities (ID) have a long history of exclusion and discrimination. Today, this make</w:t>
      </w:r>
      <w:r>
        <w:rPr>
          <w:rFonts w:ascii="Ubuntu" w:hAnsi="Ubuntu"/>
        </w:rPr>
        <w:t>s</w:t>
      </w:r>
      <w:r w:rsidRPr="00164C1B">
        <w:rPr>
          <w:rFonts w:ascii="Ubuntu" w:hAnsi="Ubuntu"/>
        </w:rPr>
        <w:t xml:space="preserve"> them more </w:t>
      </w:r>
      <w:r>
        <w:rPr>
          <w:rFonts w:ascii="Ubuntu" w:hAnsi="Ubuntu"/>
        </w:rPr>
        <w:t>vulnerable</w:t>
      </w:r>
      <w:r w:rsidRPr="00164C1B">
        <w:rPr>
          <w:rFonts w:ascii="Ubuntu" w:hAnsi="Ubuntu"/>
        </w:rPr>
        <w:t xml:space="preserve"> to COVID-19 infection and complications. </w:t>
      </w:r>
    </w:p>
    <w:p w:rsidR="0012185B" w:rsidRPr="00CF37A4" w:rsidRDefault="0012185B" w:rsidP="0012185B">
      <w:pPr>
        <w:pStyle w:val="ListParagraph"/>
        <w:numPr>
          <w:ilvl w:val="0"/>
          <w:numId w:val="2"/>
        </w:numPr>
        <w:spacing w:after="120"/>
        <w:rPr>
          <w:rFonts w:ascii="Ubuntu" w:hAnsi="Ubuntu"/>
        </w:rPr>
      </w:pPr>
      <w:r w:rsidRPr="00CF37A4">
        <w:rPr>
          <w:rFonts w:ascii="Ubuntu" w:hAnsi="Ubuntu"/>
          <w:b/>
        </w:rPr>
        <w:t>People with ID have a hard time accessing quality health care</w:t>
      </w:r>
      <w:r w:rsidRPr="00CF37A4">
        <w:rPr>
          <w:rFonts w:ascii="Ubuntu" w:hAnsi="Ubuntu"/>
        </w:rPr>
        <w:t xml:space="preserve">. Many people with ID have a </w:t>
      </w:r>
      <w:r>
        <w:rPr>
          <w:rFonts w:ascii="Ubuntu" w:hAnsi="Ubuntu"/>
        </w:rPr>
        <w:t>path</w:t>
      </w:r>
      <w:r w:rsidRPr="00CF37A4">
        <w:rPr>
          <w:rFonts w:ascii="Ubuntu" w:hAnsi="Ubuntu"/>
        </w:rPr>
        <w:t xml:space="preserve"> for obtaining health insurance, </w:t>
      </w:r>
      <w:r>
        <w:rPr>
          <w:rFonts w:ascii="Ubuntu" w:hAnsi="Ubuntu"/>
        </w:rPr>
        <w:t>which should make</w:t>
      </w:r>
      <w:r w:rsidRPr="00CF37A4">
        <w:rPr>
          <w:rFonts w:ascii="Ubuntu" w:hAnsi="Ubuntu"/>
        </w:rPr>
        <w:t xml:space="preserve"> it</w:t>
      </w:r>
      <w:r>
        <w:rPr>
          <w:rFonts w:ascii="Ubuntu" w:hAnsi="Ubuntu"/>
        </w:rPr>
        <w:t xml:space="preserve"> easier for them to access care. However, o</w:t>
      </w:r>
      <w:r w:rsidRPr="00CF37A4">
        <w:rPr>
          <w:rFonts w:ascii="Ubuntu" w:hAnsi="Ubuntu"/>
        </w:rPr>
        <w:t>ver 80% of health care professionals have not received training on how to treat people with ID.</w:t>
      </w:r>
      <w:r w:rsidRPr="00164C1B">
        <w:rPr>
          <w:rStyle w:val="EndnoteReference"/>
          <w:rFonts w:ascii="Ubuntu" w:hAnsi="Ubuntu"/>
        </w:rPr>
        <w:endnoteReference w:id="1"/>
      </w:r>
      <w:r w:rsidRPr="00CF37A4">
        <w:rPr>
          <w:rFonts w:ascii="Ubuntu" w:hAnsi="Ubuntu"/>
        </w:rPr>
        <w:t xml:space="preserve"> As a result, they often have little understanding of how to communicate with people with ID and care for them. Health professionals may not know how to adjust their standard approach</w:t>
      </w:r>
      <w:r>
        <w:rPr>
          <w:rFonts w:ascii="Ubuntu" w:hAnsi="Ubuntu"/>
        </w:rPr>
        <w:t xml:space="preserve"> to work: how to communicate, how much </w:t>
      </w:r>
      <w:r w:rsidRPr="00CF37A4">
        <w:rPr>
          <w:rFonts w:ascii="Ubuntu" w:hAnsi="Ubuntu"/>
        </w:rPr>
        <w:t xml:space="preserve">time </w:t>
      </w:r>
      <w:r>
        <w:rPr>
          <w:rFonts w:ascii="Ubuntu" w:hAnsi="Ubuntu"/>
        </w:rPr>
        <w:t>to spend</w:t>
      </w:r>
      <w:r w:rsidRPr="00CF37A4">
        <w:rPr>
          <w:rFonts w:ascii="Ubuntu" w:hAnsi="Ubuntu"/>
        </w:rPr>
        <w:t xml:space="preserve"> with the </w:t>
      </w:r>
      <w:r>
        <w:rPr>
          <w:rFonts w:ascii="Ubuntu" w:hAnsi="Ubuntu"/>
        </w:rPr>
        <w:t xml:space="preserve">patient to understand symptoms, like shortness of breath </w:t>
      </w:r>
      <w:r w:rsidRPr="00CF37A4">
        <w:rPr>
          <w:rFonts w:ascii="Ubuntu" w:hAnsi="Ubuntu"/>
        </w:rPr>
        <w:t>or</w:t>
      </w:r>
      <w:r>
        <w:rPr>
          <w:rFonts w:ascii="Ubuntu" w:hAnsi="Ubuntu"/>
        </w:rPr>
        <w:t xml:space="preserve"> how to </w:t>
      </w:r>
      <w:r w:rsidRPr="00CF37A4">
        <w:rPr>
          <w:rFonts w:ascii="Ubuntu" w:hAnsi="Ubuntu"/>
        </w:rPr>
        <w:t>prepare them for proc</w:t>
      </w:r>
      <w:r>
        <w:rPr>
          <w:rFonts w:ascii="Ubuntu" w:hAnsi="Ubuntu"/>
        </w:rPr>
        <w:t xml:space="preserve">edures like nasal swab testing. They also </w:t>
      </w:r>
      <w:r w:rsidRPr="00CF37A4">
        <w:rPr>
          <w:rFonts w:ascii="Ubuntu" w:hAnsi="Ubuntu"/>
        </w:rPr>
        <w:t>may not feel comfortable treating this population.</w:t>
      </w:r>
      <w:r>
        <w:rPr>
          <w:rFonts w:ascii="Ubuntu" w:hAnsi="Ubuntu"/>
        </w:rPr>
        <w:t xml:space="preserve"> Insured people with ID also find that crucial home- and community-based services (HCBS) remain out of their reach, due to long waitlists for Medicaid coverage of these services in most states—for people with intellectual and developmental disabilities, the national average wait time for HCBS exceeds five years.</w:t>
      </w:r>
      <w:r>
        <w:rPr>
          <w:rStyle w:val="EndnoteReference"/>
          <w:rFonts w:ascii="Ubuntu" w:hAnsi="Ubuntu"/>
        </w:rPr>
        <w:endnoteReference w:id="2"/>
      </w:r>
      <w:r>
        <w:rPr>
          <w:rFonts w:ascii="Ubuntu" w:hAnsi="Ubuntu"/>
        </w:rPr>
        <w:t xml:space="preserve"> </w:t>
      </w:r>
    </w:p>
    <w:p w:rsidR="0012185B" w:rsidRPr="00D02D61" w:rsidRDefault="0012185B" w:rsidP="0012185B">
      <w:pPr>
        <w:pStyle w:val="ListParagraph"/>
        <w:numPr>
          <w:ilvl w:val="0"/>
          <w:numId w:val="2"/>
        </w:numPr>
        <w:spacing w:after="120"/>
        <w:rPr>
          <w:rFonts w:ascii="Ubuntu" w:hAnsi="Ubuntu"/>
        </w:rPr>
      </w:pPr>
      <w:r w:rsidRPr="00D02D61">
        <w:rPr>
          <w:rFonts w:ascii="Ubuntu" w:hAnsi="Ubuntu"/>
          <w:b/>
        </w:rPr>
        <w:t>Long-term sub-standard access to health care means that people with ID are in worse health than the general population.</w:t>
      </w:r>
      <w:r w:rsidRPr="00D02D61">
        <w:rPr>
          <w:rFonts w:ascii="Ubuntu" w:hAnsi="Ubuntu"/>
        </w:rPr>
        <w:t xml:space="preserve"> </w:t>
      </w:r>
      <w:r>
        <w:rPr>
          <w:rFonts w:ascii="Ubuntu" w:hAnsi="Ubuntu"/>
        </w:rPr>
        <w:t>C</w:t>
      </w:r>
      <w:r w:rsidRPr="00D02D61">
        <w:rPr>
          <w:rFonts w:ascii="Ubuntu" w:hAnsi="Ubuntu"/>
        </w:rPr>
        <w:t>ertain conditions associated with intellectual disability</w:t>
      </w:r>
      <w:r>
        <w:rPr>
          <w:rFonts w:ascii="Ubuntu" w:hAnsi="Ubuntu"/>
        </w:rPr>
        <w:t xml:space="preserve"> have inherent health risks; </w:t>
      </w:r>
      <w:r w:rsidRPr="00D02D61">
        <w:rPr>
          <w:rFonts w:ascii="Ubuntu" w:hAnsi="Ubuntu"/>
        </w:rPr>
        <w:t>for example, people with Down syndrome may have compromised immune systems, which lead to higher rates of respiratory illnesses, and people with cerebral palsy often have associated scoliosis or spine curvature and low muscle tone that produce higher risk of pneumonia and difficulties with secretions</w:t>
      </w:r>
      <w:r>
        <w:rPr>
          <w:rFonts w:ascii="Ubuntu" w:hAnsi="Ubuntu"/>
        </w:rPr>
        <w:t>.</w:t>
      </w:r>
      <w:r w:rsidRPr="00D02D61">
        <w:rPr>
          <w:rStyle w:val="EndnoteReference"/>
          <w:rFonts w:ascii="Ubuntu" w:hAnsi="Ubuntu"/>
        </w:rPr>
        <w:t xml:space="preserve"> </w:t>
      </w:r>
      <w:r w:rsidRPr="00164C1B">
        <w:rPr>
          <w:rStyle w:val="EndnoteReference"/>
          <w:rFonts w:ascii="Ubuntu" w:hAnsi="Ubuntu"/>
        </w:rPr>
        <w:endnoteReference w:id="3"/>
      </w:r>
      <w:r w:rsidRPr="00D02D61">
        <w:rPr>
          <w:rFonts w:ascii="Ubuntu" w:hAnsi="Ubuntu"/>
        </w:rPr>
        <w:t xml:space="preserve"> </w:t>
      </w:r>
      <w:r>
        <w:rPr>
          <w:rFonts w:ascii="Ubuntu" w:hAnsi="Ubuntu"/>
        </w:rPr>
        <w:t xml:space="preserve"> However, </w:t>
      </w:r>
      <w:r w:rsidRPr="00D02D61">
        <w:rPr>
          <w:rFonts w:ascii="Ubuntu" w:hAnsi="Ubuntu"/>
        </w:rPr>
        <w:t xml:space="preserve">difficulty accessing services is a significant contributor to </w:t>
      </w:r>
      <w:r>
        <w:rPr>
          <w:rFonts w:ascii="Ubuntu" w:hAnsi="Ubuntu"/>
        </w:rPr>
        <w:t xml:space="preserve">the </w:t>
      </w:r>
      <w:r w:rsidRPr="00D02D61">
        <w:rPr>
          <w:rFonts w:ascii="Ubuntu" w:hAnsi="Ubuntu"/>
        </w:rPr>
        <w:t>poor health status</w:t>
      </w:r>
      <w:r>
        <w:rPr>
          <w:rFonts w:ascii="Ubuntu" w:hAnsi="Ubuntu"/>
        </w:rPr>
        <w:t xml:space="preserve"> of people with ID: this population has more chronic health conditions </w:t>
      </w:r>
      <w:r w:rsidRPr="00D02D61">
        <w:rPr>
          <w:rFonts w:ascii="Ubuntu" w:hAnsi="Ubuntu"/>
        </w:rPr>
        <w:t>than the general population, up to 2.5 times the number of health conditions as their peers in the general population.</w:t>
      </w:r>
      <w:r w:rsidRPr="00164C1B">
        <w:rPr>
          <w:rStyle w:val="EndnoteReference"/>
          <w:rFonts w:ascii="Ubuntu" w:hAnsi="Ubuntu"/>
        </w:rPr>
        <w:endnoteReference w:id="4"/>
      </w:r>
      <w:r w:rsidRPr="00D02D61">
        <w:rPr>
          <w:rFonts w:ascii="Ubuntu" w:hAnsi="Ubuntu"/>
        </w:rPr>
        <w:t xml:space="preserve"> There is much to learn about COVID-19, but studies have highlighted </w:t>
      </w:r>
      <w:r>
        <w:rPr>
          <w:rFonts w:ascii="Ubuntu" w:hAnsi="Ubuntu"/>
        </w:rPr>
        <w:t>some of the prevalent chronic conditions</w:t>
      </w:r>
      <w:r w:rsidRPr="00D02D61">
        <w:rPr>
          <w:rFonts w:ascii="Ubuntu" w:hAnsi="Ubuntu"/>
        </w:rPr>
        <w:t xml:space="preserve"> as risk factors for COVID-19 complications:</w:t>
      </w:r>
      <w:r w:rsidRPr="00164C1B">
        <w:rPr>
          <w:rStyle w:val="EndnoteReference"/>
          <w:rFonts w:ascii="Ubuntu" w:hAnsi="Ubuntu"/>
        </w:rPr>
        <w:endnoteReference w:id="5"/>
      </w:r>
      <w:r w:rsidRPr="00D02D61">
        <w:rPr>
          <w:rFonts w:ascii="Ubuntu" w:hAnsi="Ubuntu"/>
        </w:rPr>
        <w:t xml:space="preserve"> </w:t>
      </w:r>
    </w:p>
    <w:p w:rsidR="0012185B" w:rsidRPr="00164C1B" w:rsidRDefault="0012185B" w:rsidP="0012185B">
      <w:pPr>
        <w:pStyle w:val="ListParagraph"/>
        <w:numPr>
          <w:ilvl w:val="1"/>
          <w:numId w:val="2"/>
        </w:numPr>
        <w:spacing w:after="120"/>
        <w:rPr>
          <w:rFonts w:ascii="Ubuntu" w:hAnsi="Ubuntu"/>
          <w:color w:val="1F497D"/>
        </w:rPr>
      </w:pPr>
      <w:r w:rsidRPr="00164C1B">
        <w:rPr>
          <w:rFonts w:ascii="Ubuntu" w:hAnsi="Ubuntu"/>
          <w:i/>
        </w:rPr>
        <w:t>Asthma</w:t>
      </w:r>
      <w:r w:rsidRPr="00164C1B">
        <w:rPr>
          <w:rFonts w:ascii="Ubuntu" w:hAnsi="Ubuntu"/>
          <w:b/>
        </w:rPr>
        <w:t xml:space="preserve">: </w:t>
      </w:r>
      <w:r w:rsidRPr="00164C1B">
        <w:rPr>
          <w:rFonts w:ascii="Ubuntu" w:hAnsi="Ubuntu"/>
        </w:rPr>
        <w:t xml:space="preserve">People with ID have significantly higher rates of asthma than the general population, up to two times the prevalence, and have higher rates of respiratory infection and fatality due to asthma. </w:t>
      </w:r>
      <w:r w:rsidRPr="00164C1B">
        <w:rPr>
          <w:rStyle w:val="EndnoteReference"/>
          <w:rFonts w:ascii="Ubuntu" w:hAnsi="Ubuntu"/>
        </w:rPr>
        <w:endnoteReference w:id="6"/>
      </w:r>
      <w:r w:rsidRPr="00164C1B">
        <w:rPr>
          <w:rFonts w:ascii="Ubuntu" w:hAnsi="Ubuntu"/>
        </w:rPr>
        <w:t xml:space="preserve"> </w:t>
      </w:r>
    </w:p>
    <w:p w:rsidR="0012185B" w:rsidRPr="00164C1B" w:rsidRDefault="0012185B" w:rsidP="0012185B">
      <w:pPr>
        <w:pStyle w:val="ListParagraph"/>
        <w:numPr>
          <w:ilvl w:val="1"/>
          <w:numId w:val="2"/>
        </w:numPr>
        <w:spacing w:after="120"/>
        <w:rPr>
          <w:rFonts w:ascii="Ubuntu" w:hAnsi="Ubuntu"/>
          <w:color w:val="1F497D"/>
        </w:rPr>
      </w:pPr>
      <w:r w:rsidRPr="00164C1B">
        <w:rPr>
          <w:rFonts w:ascii="Ubuntu" w:hAnsi="Ubuntu"/>
          <w:i/>
        </w:rPr>
        <w:t>Diabetes</w:t>
      </w:r>
      <w:r w:rsidRPr="00164C1B">
        <w:rPr>
          <w:rFonts w:ascii="Ubuntu" w:hAnsi="Ubuntu"/>
        </w:rPr>
        <w:t>:  Roughly 30% of overweight people have type 2 diabetes.</w:t>
      </w:r>
      <w:r w:rsidRPr="00164C1B">
        <w:rPr>
          <w:rStyle w:val="EndnoteReference"/>
          <w:rFonts w:ascii="Ubuntu" w:hAnsi="Ubuntu"/>
        </w:rPr>
        <w:endnoteReference w:id="7"/>
      </w:r>
      <w:r w:rsidRPr="00164C1B">
        <w:rPr>
          <w:rFonts w:ascii="Ubuntu" w:hAnsi="Ubuntu"/>
        </w:rPr>
        <w:t xml:space="preserve"> Approximately half of adult Special Olympics athletes in the US are obese, compared to an estimated 42% of adults in the general population.</w:t>
      </w:r>
      <w:r w:rsidRPr="00164C1B">
        <w:rPr>
          <w:rStyle w:val="EndnoteReference"/>
          <w:rFonts w:ascii="Ubuntu" w:hAnsi="Ubuntu"/>
        </w:rPr>
        <w:endnoteReference w:id="8"/>
      </w:r>
      <w:r w:rsidRPr="00164C1B">
        <w:rPr>
          <w:rFonts w:ascii="Ubuntu" w:hAnsi="Ubuntu"/>
        </w:rPr>
        <w:t xml:space="preserve"> </w:t>
      </w:r>
    </w:p>
    <w:p w:rsidR="0012185B" w:rsidRPr="00164C1B" w:rsidRDefault="0012185B" w:rsidP="0012185B">
      <w:pPr>
        <w:pStyle w:val="ListParagraph"/>
        <w:numPr>
          <w:ilvl w:val="1"/>
          <w:numId w:val="2"/>
        </w:numPr>
        <w:spacing w:after="120"/>
        <w:rPr>
          <w:rFonts w:ascii="Ubuntu" w:hAnsi="Ubuntu"/>
          <w:color w:val="1F497D"/>
        </w:rPr>
      </w:pPr>
      <w:r w:rsidRPr="00164C1B">
        <w:rPr>
          <w:rFonts w:ascii="Ubuntu" w:hAnsi="Ubuntu"/>
          <w:i/>
        </w:rPr>
        <w:t>Hypertension</w:t>
      </w:r>
      <w:r w:rsidRPr="00164C1B">
        <w:rPr>
          <w:rFonts w:ascii="Ubuntu" w:hAnsi="Ubuntu"/>
        </w:rPr>
        <w:t>: Adults with disabilities in the US are 13% more likely to have high blood pressure than adults without disabilities; 36.4% of adults with cognitive limitations have high blood pressure, versus 26.9% of adults with no disability.</w:t>
      </w:r>
      <w:r w:rsidRPr="00164C1B">
        <w:rPr>
          <w:rStyle w:val="EndnoteReference"/>
          <w:rFonts w:ascii="Ubuntu" w:hAnsi="Ubuntu"/>
        </w:rPr>
        <w:endnoteReference w:id="9"/>
      </w:r>
    </w:p>
    <w:p w:rsidR="0012185B" w:rsidRPr="00164C1B" w:rsidRDefault="0012185B" w:rsidP="0012185B">
      <w:pPr>
        <w:pStyle w:val="ListParagraph"/>
        <w:numPr>
          <w:ilvl w:val="0"/>
          <w:numId w:val="1"/>
        </w:numPr>
        <w:spacing w:after="120"/>
        <w:rPr>
          <w:rFonts w:ascii="Ubuntu" w:hAnsi="Ubuntu"/>
        </w:rPr>
      </w:pPr>
      <w:r w:rsidRPr="00164C1B">
        <w:rPr>
          <w:rFonts w:ascii="Ubuntu" w:hAnsi="Ubuntu"/>
          <w:b/>
        </w:rPr>
        <w:t xml:space="preserve">Group care makes social distancing impossible. </w:t>
      </w:r>
      <w:r w:rsidRPr="00164C1B">
        <w:rPr>
          <w:rFonts w:ascii="Ubuntu" w:hAnsi="Ubuntu"/>
        </w:rPr>
        <w:t>Around one-third of people with ID continue to reside in congregate settings, such as group homes or institutions.</w:t>
      </w:r>
      <w:r w:rsidRPr="00164C1B">
        <w:rPr>
          <w:rStyle w:val="EndnoteReference"/>
          <w:rFonts w:ascii="Ubuntu" w:hAnsi="Ubuntu"/>
        </w:rPr>
        <w:endnoteReference w:id="10"/>
      </w:r>
      <w:r w:rsidRPr="00164C1B">
        <w:rPr>
          <w:rFonts w:ascii="Ubuntu" w:hAnsi="Ubuntu"/>
        </w:rPr>
        <w:t xml:space="preserve"> Even people with ID who reside in the community often spend significant time in group settings such as adult day centers. The difficulty of social distancing in these settings because of the number of residents/participants and their care/support needs increases the risk of </w:t>
      </w:r>
      <w:r w:rsidRPr="00164C1B">
        <w:rPr>
          <w:rFonts w:ascii="Ubuntu" w:hAnsi="Ubuntu"/>
        </w:rPr>
        <w:lastRenderedPageBreak/>
        <w:t>spreading COVID-19 infection. Numerous clusters of community COVID-19 transmission have centered on group care settings like nursing homes and group homes.</w:t>
      </w:r>
      <w:r w:rsidRPr="00164C1B">
        <w:rPr>
          <w:rStyle w:val="EndnoteReference"/>
          <w:rFonts w:ascii="Ubuntu" w:hAnsi="Ubuntu"/>
        </w:rPr>
        <w:endnoteReference w:id="11"/>
      </w:r>
    </w:p>
    <w:p w:rsidR="0012185B" w:rsidRPr="00164C1B" w:rsidRDefault="0012185B" w:rsidP="0012185B">
      <w:pPr>
        <w:pStyle w:val="ListParagraph"/>
        <w:numPr>
          <w:ilvl w:val="0"/>
          <w:numId w:val="1"/>
        </w:numPr>
        <w:spacing w:after="120"/>
        <w:rPr>
          <w:rFonts w:ascii="Ubuntu" w:hAnsi="Ubuntu"/>
        </w:rPr>
      </w:pPr>
      <w:r w:rsidRPr="00164C1B">
        <w:rPr>
          <w:rFonts w:ascii="Ubuntu" w:hAnsi="Ubuntu"/>
          <w:b/>
        </w:rPr>
        <w:t>Family care presents its own challenges and risks.</w:t>
      </w:r>
      <w:r w:rsidRPr="00164C1B">
        <w:rPr>
          <w:rFonts w:ascii="Ubuntu" w:hAnsi="Ubuntu"/>
        </w:rPr>
        <w:t xml:space="preserve"> Many adults with ID live with and receive care from older adults.</w:t>
      </w:r>
      <w:r w:rsidRPr="00164C1B">
        <w:rPr>
          <w:rStyle w:val="EndnoteReference"/>
          <w:rFonts w:ascii="Ubuntu" w:hAnsi="Ubuntu"/>
        </w:rPr>
        <w:endnoteReference w:id="12"/>
      </w:r>
      <w:r w:rsidRPr="00164C1B">
        <w:rPr>
          <w:rFonts w:ascii="Ubuntu" w:hAnsi="Ubuntu"/>
        </w:rPr>
        <w:t xml:space="preserve"> Strict preventive social distancing by the household or older caregiver may pose challenges to the person with ID having all of their needs met—a situation that is significantly more dire if the caregiver contracts COVID-19 and then requires care in the home or is removed from the home.</w:t>
      </w:r>
      <w:r>
        <w:rPr>
          <w:rFonts w:ascii="Ubuntu" w:hAnsi="Ubuntu"/>
        </w:rPr>
        <w:t xml:space="preserve"> In addition, people with ID, like women and children without ID, may be at higher risk of experiencing violence at home during these times of high stress.</w:t>
      </w:r>
      <w:r>
        <w:rPr>
          <w:rStyle w:val="EndnoteReference"/>
          <w:rFonts w:ascii="Ubuntu" w:hAnsi="Ubuntu"/>
        </w:rPr>
        <w:endnoteReference w:id="13"/>
      </w:r>
    </w:p>
    <w:p w:rsidR="0012185B" w:rsidRPr="00164C1B" w:rsidRDefault="0012185B" w:rsidP="0012185B">
      <w:pPr>
        <w:spacing w:after="120" w:line="240" w:lineRule="auto"/>
        <w:rPr>
          <w:rFonts w:ascii="Ubuntu" w:hAnsi="Ubuntu"/>
        </w:rPr>
      </w:pPr>
      <w:r w:rsidRPr="00164C1B">
        <w:rPr>
          <w:rFonts w:ascii="Ubuntu" w:hAnsi="Ubuntu"/>
          <w:b/>
        </w:rPr>
        <w:t>Fact #2:</w:t>
      </w:r>
      <w:r w:rsidRPr="00164C1B">
        <w:rPr>
          <w:rFonts w:ascii="Ubuntu" w:hAnsi="Ubuntu"/>
        </w:rPr>
        <w:t xml:space="preserve"> The COVID-19 pandemic is stretching resources, including medical equipment, provider time, and legal oversight, thin. People with intellectual disabilities are at risk of being de-prioritized for COVID-19-related medical attention, including life-saving measures, because of the medical community’s documented history of undervaluing the lives of these individuals.</w:t>
      </w:r>
      <w:r w:rsidRPr="00164C1B">
        <w:rPr>
          <w:rStyle w:val="EndnoteReference"/>
          <w:rFonts w:ascii="Ubuntu" w:hAnsi="Ubuntu"/>
        </w:rPr>
        <w:endnoteReference w:id="14"/>
      </w:r>
      <w:r w:rsidRPr="00164C1B">
        <w:rPr>
          <w:rFonts w:ascii="Ubuntu" w:hAnsi="Ubuntu"/>
        </w:rPr>
        <w:t xml:space="preserve"> </w:t>
      </w:r>
    </w:p>
    <w:p w:rsidR="0012185B" w:rsidRPr="00164C1B" w:rsidRDefault="0012185B" w:rsidP="0012185B">
      <w:pPr>
        <w:pStyle w:val="ListParagraph"/>
        <w:numPr>
          <w:ilvl w:val="0"/>
          <w:numId w:val="1"/>
        </w:numPr>
        <w:spacing w:after="120"/>
        <w:rPr>
          <w:rFonts w:ascii="Ubuntu" w:hAnsi="Ubuntu"/>
        </w:rPr>
      </w:pPr>
      <w:r w:rsidRPr="00164C1B">
        <w:rPr>
          <w:rFonts w:ascii="Ubuntu" w:hAnsi="Ubuntu"/>
        </w:rPr>
        <w:t xml:space="preserve">Policies that de-prioritize or disqualify people with ID for limited resources </w:t>
      </w:r>
      <w:r w:rsidRPr="00164C1B">
        <w:rPr>
          <w:rFonts w:ascii="Ubuntu" w:hAnsi="Ubuntu"/>
          <w:i/>
        </w:rPr>
        <w:t>solely on the basis of their disability</w:t>
      </w:r>
      <w:r w:rsidRPr="00164C1B">
        <w:rPr>
          <w:rFonts w:ascii="Ubuntu" w:hAnsi="Ubuntu"/>
        </w:rPr>
        <w:t xml:space="preserve"> are plainly discriminatory, violate legal norms </w:t>
      </w:r>
      <w:r w:rsidRPr="00164C1B">
        <w:rPr>
          <w:rFonts w:ascii="Ubuntu" w:hAnsi="Ubuntu" w:cstheme="minorHAnsi"/>
        </w:rPr>
        <w:t xml:space="preserve">including the Americans with Disabilities Act (ADA), </w:t>
      </w:r>
      <w:r w:rsidRPr="00164C1B">
        <w:rPr>
          <w:rFonts w:ascii="Ubuntu" w:hAnsi="Ubuntu" w:cstheme="minorHAnsi"/>
          <w:color w:val="000000"/>
          <w:shd w:val="clear" w:color="auto" w:fill="FFFFFF"/>
        </w:rPr>
        <w:t>Section 504 of the Rehabilitation Act, and Section 1557 of the Affordable Care Act (ACA)</w:t>
      </w:r>
      <w:r w:rsidRPr="00164C1B">
        <w:rPr>
          <w:rFonts w:ascii="Ubuntu" w:hAnsi="Ubuntu" w:cstheme="minorHAnsi"/>
        </w:rPr>
        <w:t>,</w:t>
      </w:r>
      <w:r w:rsidRPr="00164C1B">
        <w:rPr>
          <w:rFonts w:ascii="Ubuntu" w:hAnsi="Ubuntu"/>
        </w:rPr>
        <w:t xml:space="preserve"> and must not stand. </w:t>
      </w:r>
    </w:p>
    <w:p w:rsidR="0012185B" w:rsidRPr="00164C1B" w:rsidRDefault="0012185B" w:rsidP="0012185B">
      <w:pPr>
        <w:pStyle w:val="ListParagraph"/>
        <w:numPr>
          <w:ilvl w:val="0"/>
          <w:numId w:val="1"/>
        </w:numPr>
        <w:spacing w:after="120"/>
        <w:rPr>
          <w:rFonts w:ascii="Ubuntu" w:hAnsi="Ubuntu"/>
        </w:rPr>
      </w:pPr>
      <w:r w:rsidRPr="00164C1B">
        <w:rPr>
          <w:rFonts w:ascii="Ubuntu" w:hAnsi="Ubuntu"/>
        </w:rPr>
        <w:t>Many tools for allocating resources appear neutral but are actually discriminatory; for example, quality of life measures include assumptions about the lives of people with ID, and therefore should not be used.</w:t>
      </w:r>
      <w:r w:rsidRPr="00164C1B">
        <w:rPr>
          <w:rStyle w:val="EndnoteReference"/>
          <w:rFonts w:ascii="Ubuntu" w:hAnsi="Ubuntu"/>
        </w:rPr>
        <w:endnoteReference w:id="15"/>
      </w:r>
      <w:r w:rsidRPr="00164C1B">
        <w:rPr>
          <w:rFonts w:ascii="Ubuntu" w:hAnsi="Ubuntu"/>
        </w:rPr>
        <w:t xml:space="preserve"> </w:t>
      </w:r>
    </w:p>
    <w:p w:rsidR="0012185B" w:rsidRPr="00164C1B" w:rsidRDefault="0012185B" w:rsidP="0012185B">
      <w:pPr>
        <w:pStyle w:val="ListParagraph"/>
        <w:numPr>
          <w:ilvl w:val="0"/>
          <w:numId w:val="1"/>
        </w:numPr>
        <w:spacing w:after="120"/>
        <w:rPr>
          <w:rFonts w:ascii="Ubuntu" w:hAnsi="Ubuntu"/>
        </w:rPr>
      </w:pPr>
      <w:r w:rsidRPr="00164C1B">
        <w:rPr>
          <w:rFonts w:ascii="Ubuntu" w:hAnsi="Ubuntu"/>
        </w:rPr>
        <w:t>Health care providers are being called on to make exceptionally complex ethical decisions in a rapidly changing operational environment. Unconscious biases tend to come to the fore in these scenarios.</w:t>
      </w:r>
      <w:r w:rsidRPr="00164C1B">
        <w:rPr>
          <w:rStyle w:val="EndnoteReference"/>
          <w:rFonts w:ascii="Ubuntu" w:hAnsi="Ubuntu"/>
        </w:rPr>
        <w:endnoteReference w:id="16"/>
      </w:r>
      <w:r w:rsidRPr="00164C1B">
        <w:rPr>
          <w:rFonts w:ascii="Ubuntu" w:hAnsi="Ubuntu"/>
        </w:rPr>
        <w:t xml:space="preserve"> Nevertheless, individualized assessments based on the best available medical evidence, combined with anti-discrimination/unconscious bias training and a high degree transparency about resource allocation policies and decisions, provide the best attainable balance.</w:t>
      </w:r>
      <w:r w:rsidRPr="00164C1B">
        <w:rPr>
          <w:rStyle w:val="EndnoteReference"/>
          <w:rFonts w:ascii="Ubuntu" w:hAnsi="Ubuntu"/>
        </w:rPr>
        <w:endnoteReference w:id="17"/>
      </w:r>
    </w:p>
    <w:p w:rsidR="0012185B" w:rsidRPr="00512063" w:rsidRDefault="0012185B" w:rsidP="0012185B">
      <w:pPr>
        <w:pStyle w:val="ListParagraph"/>
        <w:numPr>
          <w:ilvl w:val="0"/>
          <w:numId w:val="1"/>
        </w:numPr>
        <w:spacing w:after="120"/>
        <w:rPr>
          <w:rFonts w:ascii="Ubuntu" w:hAnsi="Ubuntu"/>
        </w:rPr>
      </w:pPr>
      <w:r w:rsidRPr="00512063">
        <w:rPr>
          <w:rFonts w:ascii="Ubuntu" w:hAnsi="Ubuntu"/>
          <w:shd w:val="clear" w:color="auto" w:fill="FFFFFF"/>
        </w:rPr>
        <w:t xml:space="preserve">A person’s health status today depends on the access to health education and care they have received during their life until this point. This puts those who have a history of being left out most at risk of losing out on life-saving healthcare. </w:t>
      </w:r>
    </w:p>
    <w:p w:rsidR="0012185B" w:rsidRPr="00164C1B" w:rsidRDefault="0012185B" w:rsidP="0012185B">
      <w:pPr>
        <w:spacing w:after="120" w:line="240" w:lineRule="auto"/>
        <w:rPr>
          <w:rFonts w:ascii="Ubuntu" w:hAnsi="Ubuntu"/>
        </w:rPr>
      </w:pPr>
      <w:r w:rsidRPr="00164C1B">
        <w:rPr>
          <w:rFonts w:ascii="Ubuntu" w:hAnsi="Ubuntu"/>
          <w:b/>
        </w:rPr>
        <w:t>Fact #3:</w:t>
      </w:r>
      <w:r w:rsidRPr="00164C1B">
        <w:rPr>
          <w:rFonts w:ascii="Ubuntu" w:hAnsi="Ubuntu"/>
        </w:rPr>
        <w:t xml:space="preserve"> The lives of people with ID are valuable and worth saving. </w:t>
      </w:r>
    </w:p>
    <w:p w:rsidR="0012185B" w:rsidRPr="00164C1B" w:rsidRDefault="0012185B" w:rsidP="0012185B">
      <w:pPr>
        <w:pStyle w:val="ListParagraph"/>
        <w:numPr>
          <w:ilvl w:val="0"/>
          <w:numId w:val="1"/>
        </w:numPr>
        <w:spacing w:after="120"/>
        <w:rPr>
          <w:rFonts w:ascii="Ubuntu" w:hAnsi="Ubuntu"/>
        </w:rPr>
      </w:pPr>
      <w:r w:rsidRPr="00164C1B">
        <w:rPr>
          <w:rFonts w:ascii="Ubuntu" w:hAnsi="Ubuntu"/>
        </w:rPr>
        <w:t>People with ID are beloved family members—</w:t>
      </w:r>
      <w:hyperlink r:id="rId9" w:history="1">
        <w:r w:rsidRPr="00164C1B">
          <w:rPr>
            <w:rStyle w:val="Hyperlink"/>
            <w:rFonts w:ascii="Ubuntu" w:hAnsi="Ubuntu"/>
          </w:rPr>
          <w:t>children to their parents</w:t>
        </w:r>
      </w:hyperlink>
      <w:r w:rsidRPr="00164C1B">
        <w:rPr>
          <w:rFonts w:ascii="Ubuntu" w:hAnsi="Ubuntu"/>
        </w:rPr>
        <w:t xml:space="preserve">, </w:t>
      </w:r>
      <w:hyperlink r:id="rId10" w:history="1">
        <w:r w:rsidRPr="00164C1B">
          <w:rPr>
            <w:rStyle w:val="Hyperlink"/>
            <w:rFonts w:ascii="Ubuntu" w:hAnsi="Ubuntu"/>
          </w:rPr>
          <w:t>often parents themselves</w:t>
        </w:r>
      </w:hyperlink>
      <w:r w:rsidRPr="00164C1B">
        <w:rPr>
          <w:rFonts w:ascii="Ubuntu" w:hAnsi="Ubuntu"/>
        </w:rPr>
        <w:t>, many people with ID have romantic partners and siblings who love and cherish them.</w:t>
      </w:r>
    </w:p>
    <w:p w:rsidR="0012185B" w:rsidRPr="00164C1B" w:rsidRDefault="0012185B" w:rsidP="0012185B">
      <w:pPr>
        <w:pStyle w:val="ListParagraph"/>
        <w:numPr>
          <w:ilvl w:val="0"/>
          <w:numId w:val="1"/>
        </w:numPr>
        <w:spacing w:after="120"/>
        <w:rPr>
          <w:rFonts w:ascii="Ubuntu" w:hAnsi="Ubuntu"/>
        </w:rPr>
      </w:pPr>
      <w:r w:rsidRPr="00164C1B">
        <w:rPr>
          <w:rFonts w:ascii="Ubuntu" w:hAnsi="Ubuntu"/>
        </w:rPr>
        <w:t xml:space="preserve">People with ID are </w:t>
      </w:r>
      <w:hyperlink r:id="rId11" w:history="1">
        <w:r w:rsidRPr="00164C1B">
          <w:rPr>
            <w:rStyle w:val="Hyperlink"/>
            <w:rFonts w:ascii="Ubuntu" w:hAnsi="Ubuntu"/>
          </w:rPr>
          <w:t>loyal and hard-working employees</w:t>
        </w:r>
      </w:hyperlink>
      <w:r w:rsidRPr="00164C1B">
        <w:rPr>
          <w:rFonts w:ascii="Ubuntu" w:hAnsi="Ubuntu"/>
        </w:rPr>
        <w:t xml:space="preserve">, </w:t>
      </w:r>
      <w:hyperlink r:id="rId12" w:history="1">
        <w:r w:rsidRPr="00164C1B">
          <w:rPr>
            <w:rStyle w:val="Hyperlink"/>
            <w:rFonts w:ascii="Ubuntu" w:hAnsi="Ubuntu"/>
          </w:rPr>
          <w:t>creative contributors</w:t>
        </w:r>
      </w:hyperlink>
      <w:r w:rsidRPr="00164C1B">
        <w:rPr>
          <w:rFonts w:ascii="Ubuntu" w:hAnsi="Ubuntu"/>
        </w:rPr>
        <w:t xml:space="preserve">, </w:t>
      </w:r>
      <w:hyperlink r:id="rId13" w:history="1">
        <w:r w:rsidRPr="00164C1B">
          <w:rPr>
            <w:rStyle w:val="Hyperlink"/>
            <w:rFonts w:ascii="Ubuntu" w:hAnsi="Ubuntu"/>
          </w:rPr>
          <w:t>treasured friends</w:t>
        </w:r>
      </w:hyperlink>
      <w:r w:rsidRPr="00164C1B">
        <w:rPr>
          <w:rFonts w:ascii="Ubuntu" w:hAnsi="Ubuntu"/>
        </w:rPr>
        <w:t xml:space="preserve">, </w:t>
      </w:r>
      <w:hyperlink r:id="rId14" w:history="1">
        <w:r w:rsidRPr="00164C1B">
          <w:rPr>
            <w:rStyle w:val="Hyperlink"/>
            <w:rFonts w:ascii="Ubuntu" w:hAnsi="Ubuntu"/>
          </w:rPr>
          <w:t>fierce advocates</w:t>
        </w:r>
      </w:hyperlink>
      <w:r w:rsidRPr="00164C1B">
        <w:rPr>
          <w:rFonts w:ascii="Ubuntu" w:hAnsi="Ubuntu"/>
        </w:rPr>
        <w:t xml:space="preserve">, and </w:t>
      </w:r>
      <w:hyperlink r:id="rId15" w:history="1">
        <w:r w:rsidRPr="00164C1B">
          <w:rPr>
            <w:rStyle w:val="Hyperlink"/>
            <w:rFonts w:ascii="Ubuntu" w:hAnsi="Ubuntu"/>
          </w:rPr>
          <w:t>accomplished athletes</w:t>
        </w:r>
      </w:hyperlink>
      <w:r w:rsidRPr="00164C1B">
        <w:rPr>
          <w:rFonts w:ascii="Ubuntu" w:hAnsi="Ubuntu"/>
        </w:rPr>
        <w:t>.</w:t>
      </w:r>
    </w:p>
    <w:p w:rsidR="0012185B" w:rsidRPr="00164C1B" w:rsidRDefault="0012185B" w:rsidP="0012185B">
      <w:pPr>
        <w:spacing w:after="120" w:line="240" w:lineRule="auto"/>
        <w:rPr>
          <w:rFonts w:ascii="Ubuntu" w:hAnsi="Ubuntu"/>
        </w:rPr>
      </w:pPr>
      <w:r w:rsidRPr="00164C1B">
        <w:rPr>
          <w:rFonts w:ascii="Ubuntu" w:hAnsi="Ubuntu"/>
          <w:b/>
        </w:rPr>
        <w:t>Fact #4:</w:t>
      </w:r>
      <w:r w:rsidRPr="00164C1B">
        <w:rPr>
          <w:rFonts w:ascii="Ubuntu" w:hAnsi="Ubuntu"/>
        </w:rPr>
        <w:t xml:space="preserve"> You can help people with ID during the COVID-19 crisis…and beyond. Special Olympics can show you how.</w:t>
      </w:r>
    </w:p>
    <w:p w:rsidR="0012185B" w:rsidRPr="00164C1B" w:rsidRDefault="0012185B" w:rsidP="0012185B">
      <w:pPr>
        <w:pStyle w:val="ListParagraph"/>
        <w:numPr>
          <w:ilvl w:val="1"/>
          <w:numId w:val="1"/>
        </w:numPr>
        <w:spacing w:after="120"/>
        <w:rPr>
          <w:rFonts w:ascii="Ubuntu" w:hAnsi="Ubuntu"/>
        </w:rPr>
      </w:pPr>
      <w:r w:rsidRPr="00164C1B">
        <w:rPr>
          <w:rFonts w:ascii="Ubuntu" w:hAnsi="Ubuntu" w:cstheme="minorHAnsi"/>
          <w:b/>
          <w:color w:val="000000"/>
          <w:shd w:val="clear" w:color="auto" w:fill="FFFFFF"/>
        </w:rPr>
        <w:t>An ounce of prevention is worth a pound of cure.</w:t>
      </w:r>
      <w:r w:rsidRPr="00164C1B">
        <w:rPr>
          <w:rFonts w:ascii="Ubuntu" w:hAnsi="Ubuntu" w:cstheme="minorHAnsi"/>
          <w:color w:val="000000"/>
          <w:shd w:val="clear" w:color="auto" w:fill="FFFFFF"/>
        </w:rPr>
        <w:t xml:space="preserve"> Designate people with ID as a priority population for COVID-19 testing in order to facilitate access to testing.</w:t>
      </w:r>
    </w:p>
    <w:p w:rsidR="0012185B" w:rsidRPr="00164C1B" w:rsidRDefault="0012185B" w:rsidP="0012185B">
      <w:pPr>
        <w:pStyle w:val="ListParagraph"/>
        <w:numPr>
          <w:ilvl w:val="1"/>
          <w:numId w:val="1"/>
        </w:numPr>
        <w:spacing w:after="120"/>
        <w:rPr>
          <w:rFonts w:ascii="Ubuntu" w:hAnsi="Ubuntu"/>
        </w:rPr>
      </w:pPr>
      <w:r w:rsidRPr="00164C1B">
        <w:rPr>
          <w:rFonts w:ascii="Ubuntu" w:hAnsi="Ubuntu"/>
          <w:b/>
        </w:rPr>
        <w:t>Accessibility and reasonable accommodations mean different things to different people.</w:t>
      </w:r>
      <w:r w:rsidRPr="00164C1B">
        <w:rPr>
          <w:rFonts w:ascii="Ubuntu" w:hAnsi="Ubuntu"/>
        </w:rPr>
        <w:t xml:space="preserve"> Provide clear guidance that people with ID be allowed to have the support person of their choice availabl</w:t>
      </w:r>
      <w:r>
        <w:rPr>
          <w:rFonts w:ascii="Ubuntu" w:hAnsi="Ubuntu"/>
        </w:rPr>
        <w:t>e to them during COVID-19 care</w:t>
      </w:r>
      <w:r w:rsidRPr="00164C1B">
        <w:rPr>
          <w:rFonts w:ascii="Ubuntu" w:hAnsi="Ubuntu"/>
        </w:rPr>
        <w:t>.</w:t>
      </w:r>
    </w:p>
    <w:p w:rsidR="0012185B" w:rsidRPr="00164C1B" w:rsidRDefault="0012185B" w:rsidP="0012185B">
      <w:pPr>
        <w:pStyle w:val="ListParagraph"/>
        <w:numPr>
          <w:ilvl w:val="1"/>
          <w:numId w:val="1"/>
        </w:numPr>
        <w:spacing w:after="120"/>
        <w:rPr>
          <w:rFonts w:ascii="Ubuntu" w:hAnsi="Ubuntu"/>
        </w:rPr>
      </w:pPr>
      <w:r w:rsidRPr="00164C1B">
        <w:rPr>
          <w:rFonts w:ascii="Ubuntu" w:hAnsi="Ubuntu"/>
          <w:b/>
        </w:rPr>
        <w:t xml:space="preserve">Information is power. </w:t>
      </w:r>
      <w:r w:rsidRPr="00164C1B">
        <w:rPr>
          <w:rFonts w:ascii="Ubuntu" w:hAnsi="Ubuntu"/>
        </w:rPr>
        <w:t>Require immediate, wide-scale health care provider and direct support staff training on working with people with ID during the pandemic.</w:t>
      </w:r>
    </w:p>
    <w:p w:rsidR="001C5D0C" w:rsidRDefault="0012185B" w:rsidP="0012185B">
      <w:pPr>
        <w:pStyle w:val="ListParagraph"/>
        <w:numPr>
          <w:ilvl w:val="1"/>
          <w:numId w:val="1"/>
        </w:numPr>
        <w:spacing w:after="120"/>
        <w:rPr>
          <w:rFonts w:ascii="Ubuntu" w:hAnsi="Ubuntu"/>
        </w:rPr>
      </w:pPr>
      <w:r w:rsidRPr="00164C1B">
        <w:rPr>
          <w:rFonts w:ascii="Ubuntu" w:hAnsi="Ubuntu"/>
          <w:b/>
        </w:rPr>
        <w:lastRenderedPageBreak/>
        <w:t>Let the sun shine in.</w:t>
      </w:r>
      <w:r w:rsidRPr="00164C1B">
        <w:rPr>
          <w:rFonts w:ascii="Ubuntu" w:hAnsi="Ubuntu"/>
        </w:rPr>
        <w:t xml:space="preserve"> Ensure </w:t>
      </w:r>
      <w:r>
        <w:rPr>
          <w:rFonts w:ascii="Ubuntu" w:hAnsi="Ubuntu"/>
        </w:rPr>
        <w:t xml:space="preserve">public availability of </w:t>
      </w:r>
      <w:r w:rsidRPr="00164C1B">
        <w:rPr>
          <w:rFonts w:ascii="Ubuntu" w:hAnsi="Ubuntu"/>
        </w:rPr>
        <w:t xml:space="preserve">detailed data </w:t>
      </w:r>
      <w:r>
        <w:rPr>
          <w:rFonts w:ascii="Ubuntu" w:hAnsi="Ubuntu"/>
        </w:rPr>
        <w:t>about the health care</w:t>
      </w:r>
      <w:r w:rsidRPr="00164C1B">
        <w:rPr>
          <w:rFonts w:ascii="Ubuntu" w:hAnsi="Ubuntu"/>
        </w:rPr>
        <w:t xml:space="preserve"> </w:t>
      </w:r>
      <w:r>
        <w:rPr>
          <w:rFonts w:ascii="Ubuntu" w:hAnsi="Ubuntu"/>
        </w:rPr>
        <w:t>during</w:t>
      </w:r>
      <w:r w:rsidRPr="00164C1B">
        <w:rPr>
          <w:rFonts w:ascii="Ubuntu" w:hAnsi="Ubuntu"/>
        </w:rPr>
        <w:t xml:space="preserve"> COVID-19, </w:t>
      </w:r>
      <w:r>
        <w:rPr>
          <w:rFonts w:ascii="Ubuntu" w:hAnsi="Ubuntu"/>
        </w:rPr>
        <w:t>including</w:t>
      </w:r>
      <w:r w:rsidRPr="00164C1B">
        <w:rPr>
          <w:rFonts w:ascii="Ubuntu" w:hAnsi="Ubuntu"/>
        </w:rPr>
        <w:t xml:space="preserve"> the allocation of limited medical resources.</w:t>
      </w:r>
    </w:p>
    <w:p w:rsidR="00477331" w:rsidRPr="001C5D0C" w:rsidRDefault="0012185B" w:rsidP="0012185B">
      <w:pPr>
        <w:pStyle w:val="ListParagraph"/>
        <w:numPr>
          <w:ilvl w:val="1"/>
          <w:numId w:val="1"/>
        </w:numPr>
        <w:spacing w:after="120"/>
        <w:rPr>
          <w:rFonts w:ascii="Ubuntu" w:hAnsi="Ubuntu"/>
        </w:rPr>
      </w:pPr>
      <w:r w:rsidRPr="001C5D0C">
        <w:rPr>
          <w:rFonts w:ascii="Ubuntu" w:hAnsi="Ubuntu"/>
          <w:b/>
        </w:rPr>
        <w:t xml:space="preserve">Be a champion of inclusion. </w:t>
      </w:r>
      <w:r w:rsidRPr="001C5D0C">
        <w:rPr>
          <w:rFonts w:ascii="Ubuntu" w:hAnsi="Ubuntu"/>
        </w:rPr>
        <w:t>Support funding to improve the health of people with ID during the pandemic and beyond.</w:t>
      </w:r>
    </w:p>
    <w:sectPr w:rsidR="00477331" w:rsidRPr="001C5D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689" w:rsidRDefault="00E70689" w:rsidP="0012185B">
      <w:pPr>
        <w:spacing w:after="0" w:line="240" w:lineRule="auto"/>
      </w:pPr>
      <w:r>
        <w:separator/>
      </w:r>
    </w:p>
  </w:endnote>
  <w:endnote w:type="continuationSeparator" w:id="0">
    <w:p w:rsidR="00E70689" w:rsidRDefault="00E70689" w:rsidP="0012185B">
      <w:pPr>
        <w:spacing w:after="0" w:line="240" w:lineRule="auto"/>
      </w:pPr>
      <w:r>
        <w:continuationSeparator/>
      </w:r>
    </w:p>
  </w:endnote>
  <w:endnote w:id="1">
    <w:p w:rsidR="0012185B" w:rsidRPr="009E193C" w:rsidRDefault="0012185B" w:rsidP="0012185B">
      <w:pPr>
        <w:pStyle w:val="EndnoteText"/>
        <w:rPr>
          <w:rFonts w:ascii="Ubuntu" w:hAnsi="Ubuntu"/>
          <w:color w:val="000000" w:themeColor="text1"/>
          <w:sz w:val="16"/>
          <w:szCs w:val="16"/>
        </w:rPr>
      </w:pPr>
      <w:r w:rsidRPr="009E193C">
        <w:rPr>
          <w:rStyle w:val="EndnoteReference"/>
          <w:rFonts w:ascii="Ubuntu" w:hAnsi="Ubuntu"/>
          <w:sz w:val="16"/>
          <w:szCs w:val="16"/>
        </w:rPr>
        <w:endnoteRef/>
      </w:r>
      <w:r w:rsidRPr="009E193C">
        <w:rPr>
          <w:rFonts w:ascii="Ubuntu" w:hAnsi="Ubuntu"/>
          <w:sz w:val="16"/>
          <w:szCs w:val="16"/>
        </w:rPr>
        <w:t xml:space="preserve"> Kaye, H.S. (2019). Disability-Related Disparities in Access to Health Care Before (</w:t>
      </w:r>
      <w:r w:rsidRPr="009E193C">
        <w:rPr>
          <w:rFonts w:ascii="Ubuntu" w:hAnsi="Ubuntu"/>
          <w:color w:val="000000" w:themeColor="text1"/>
          <w:sz w:val="16"/>
          <w:szCs w:val="16"/>
        </w:rPr>
        <w:t xml:space="preserve">2008-2010) and After (2015-2017) the Affordable Care Act. </w:t>
      </w:r>
      <w:r w:rsidRPr="009E193C">
        <w:rPr>
          <w:rFonts w:ascii="Ubuntu" w:hAnsi="Ubuntu"/>
          <w:i/>
          <w:color w:val="000000" w:themeColor="text1"/>
          <w:sz w:val="16"/>
          <w:szCs w:val="16"/>
        </w:rPr>
        <w:t>American Journal of Public Health 109</w:t>
      </w:r>
      <w:r w:rsidRPr="009E193C">
        <w:rPr>
          <w:rFonts w:ascii="Ubuntu" w:hAnsi="Ubuntu"/>
          <w:color w:val="000000" w:themeColor="text1"/>
          <w:sz w:val="16"/>
          <w:szCs w:val="16"/>
        </w:rPr>
        <w:t xml:space="preserve">(7), 1015-1021. </w:t>
      </w:r>
      <w:hyperlink r:id="rId1" w:tooltip="Disability-Related Disparities in Access to Health Care Before (2008&amp;#x2013;2010) and After (2015&amp;#x2013;2017) the Affordable Care Act" w:history="1">
        <w:r w:rsidRPr="009E193C">
          <w:rPr>
            <w:rStyle w:val="Hyperlink"/>
            <w:rFonts w:ascii="Ubuntu" w:hAnsi="Ubuntu" w:cs="Arial"/>
            <w:color w:val="000000" w:themeColor="text1"/>
            <w:sz w:val="16"/>
            <w:szCs w:val="16"/>
          </w:rPr>
          <w:t>https://doi.org/10.2105/AJPH.2019.305056</w:t>
        </w:r>
      </w:hyperlink>
      <w:r w:rsidRPr="009E193C">
        <w:rPr>
          <w:rFonts w:ascii="Ubuntu" w:hAnsi="Ubuntu"/>
          <w:color w:val="000000" w:themeColor="text1"/>
          <w:sz w:val="16"/>
          <w:szCs w:val="16"/>
        </w:rPr>
        <w:t xml:space="preserve">. Special </w:t>
      </w:r>
      <w:r w:rsidRPr="009E193C">
        <w:rPr>
          <w:rFonts w:ascii="Ubuntu" w:hAnsi="Ubuntu"/>
          <w:sz w:val="16"/>
          <w:szCs w:val="16"/>
        </w:rPr>
        <w:t xml:space="preserve">Olympics Train the Trainer Survey (2019). Washington, DC: Special Olympics, Inc. </w:t>
      </w:r>
      <w:hyperlink r:id="rId2" w:history="1">
        <w:r w:rsidRPr="009E193C">
          <w:rPr>
            <w:rStyle w:val="Hyperlink"/>
            <w:rFonts w:ascii="Ubuntu" w:hAnsi="Ubuntu"/>
            <w:sz w:val="16"/>
            <w:szCs w:val="16"/>
          </w:rPr>
          <w:t>https://resources.specialolympics.org/research/health-research-and-evaluation</w:t>
        </w:r>
      </w:hyperlink>
      <w:r w:rsidRPr="009E193C">
        <w:rPr>
          <w:rFonts w:ascii="Ubuntu" w:hAnsi="Ubuntu"/>
          <w:sz w:val="16"/>
          <w:szCs w:val="16"/>
        </w:rPr>
        <w:t xml:space="preserve"> </w:t>
      </w:r>
    </w:p>
  </w:endnote>
  <w:endnote w:id="2">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Musumeci, M., Chidambaram, P., &amp; O’Malley Watts, M. (2019). </w:t>
      </w:r>
      <w:r w:rsidRPr="009E193C">
        <w:rPr>
          <w:rFonts w:ascii="Ubuntu" w:hAnsi="Ubuntu"/>
          <w:i/>
          <w:sz w:val="16"/>
          <w:szCs w:val="16"/>
        </w:rPr>
        <w:t>Key Questions About Medicaid Home and Community-Based Services Waiting Lists.</w:t>
      </w:r>
      <w:r w:rsidRPr="009E193C">
        <w:rPr>
          <w:rFonts w:ascii="Ubuntu" w:hAnsi="Ubuntu"/>
          <w:sz w:val="16"/>
          <w:szCs w:val="16"/>
        </w:rPr>
        <w:t xml:space="preserve"> Kaiser Family Foundation (KFF).</w:t>
      </w:r>
      <w:r w:rsidRPr="009E193C">
        <w:rPr>
          <w:rFonts w:ascii="Ubuntu" w:hAnsi="Ubuntu"/>
          <w:i/>
          <w:sz w:val="16"/>
          <w:szCs w:val="16"/>
        </w:rPr>
        <w:t xml:space="preserve"> </w:t>
      </w:r>
      <w:hyperlink r:id="rId3" w:history="1">
        <w:r w:rsidRPr="009E193C">
          <w:rPr>
            <w:rStyle w:val="Hyperlink"/>
            <w:rFonts w:ascii="Ubuntu" w:hAnsi="Ubuntu"/>
            <w:sz w:val="16"/>
            <w:szCs w:val="16"/>
          </w:rPr>
          <w:t>https://www.kff.org/medicaid/issue-brief/key-questions-about-medicaid-home-and-community-based-services-waiver-waiting-lists/</w:t>
        </w:r>
      </w:hyperlink>
      <w:r w:rsidRPr="009E193C">
        <w:rPr>
          <w:rFonts w:ascii="Ubuntu" w:hAnsi="Ubuntu"/>
          <w:sz w:val="16"/>
          <w:szCs w:val="16"/>
        </w:rPr>
        <w:t xml:space="preserve">. Musumeci, M. &amp; Chidambaram, P. (2019). </w:t>
      </w:r>
      <w:r w:rsidRPr="009E193C">
        <w:rPr>
          <w:rFonts w:ascii="Ubuntu" w:hAnsi="Ubuntu"/>
          <w:i/>
          <w:sz w:val="16"/>
          <w:szCs w:val="16"/>
        </w:rPr>
        <w:t>Key Questions About Medicaid Home and Community-Based Services Waiting Lists.</w:t>
      </w:r>
      <w:r w:rsidRPr="009E193C">
        <w:rPr>
          <w:rFonts w:ascii="Ubuntu" w:hAnsi="Ubuntu"/>
          <w:sz w:val="16"/>
          <w:szCs w:val="16"/>
        </w:rPr>
        <w:t xml:space="preserve"> Kaiser Family Foundation (KFF).  </w:t>
      </w:r>
      <w:hyperlink r:id="rId4" w:history="1">
        <w:r w:rsidRPr="009E193C">
          <w:rPr>
            <w:rStyle w:val="Hyperlink"/>
            <w:rFonts w:ascii="Ubuntu" w:hAnsi="Ubuntu"/>
            <w:sz w:val="16"/>
            <w:szCs w:val="16"/>
          </w:rPr>
          <w:t>https://www.kff.org/report-section/key-questions-about-medicaid-home-and-community-based-services-waiver-waiting-lists-appendix-tables/</w:t>
        </w:r>
      </w:hyperlink>
      <w:r w:rsidRPr="009E193C">
        <w:rPr>
          <w:rStyle w:val="Hyperlink"/>
          <w:rFonts w:ascii="Ubuntu" w:hAnsi="Ubuntu"/>
          <w:sz w:val="16"/>
          <w:szCs w:val="16"/>
        </w:rPr>
        <w:t xml:space="preserve">. </w:t>
      </w:r>
    </w:p>
  </w:endnote>
  <w:endnote w:id="3">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Ram, G. &amp; Chinen, J. (2011). Infections and immunodeficiency in Down syndrome. </w:t>
      </w:r>
      <w:r w:rsidRPr="009E193C">
        <w:rPr>
          <w:rFonts w:ascii="Ubuntu" w:hAnsi="Ubuntu"/>
          <w:i/>
          <w:sz w:val="16"/>
          <w:szCs w:val="16"/>
        </w:rPr>
        <w:t>Clinical and experimental immunology, 164</w:t>
      </w:r>
      <w:r w:rsidRPr="009E193C">
        <w:rPr>
          <w:rFonts w:ascii="Ubuntu" w:hAnsi="Ubuntu"/>
          <w:sz w:val="16"/>
          <w:szCs w:val="16"/>
        </w:rPr>
        <w:t xml:space="preserve">(1), 9-16. </w:t>
      </w:r>
      <w:r w:rsidRPr="009E193C">
        <w:rPr>
          <w:rFonts w:ascii="Ubuntu" w:hAnsi="Ubuntu" w:cs="Arial"/>
          <w:color w:val="303030"/>
          <w:sz w:val="16"/>
          <w:szCs w:val="16"/>
          <w:shd w:val="clear" w:color="auto" w:fill="FFFFFF"/>
        </w:rPr>
        <w:t>Ram, G., &amp; Chinen, J. (2011). Infections and immunodeficiency in Down syndrome. </w:t>
      </w:r>
      <w:r w:rsidRPr="009E193C">
        <w:rPr>
          <w:rFonts w:ascii="Ubuntu" w:hAnsi="Ubuntu" w:cs="Arial"/>
          <w:i/>
          <w:iCs/>
          <w:color w:val="303030"/>
          <w:sz w:val="16"/>
          <w:szCs w:val="16"/>
          <w:shd w:val="clear" w:color="auto" w:fill="FFFFFF"/>
        </w:rPr>
        <w:t>Clinical and experimental immunology</w:t>
      </w:r>
      <w:r w:rsidRPr="009E193C">
        <w:rPr>
          <w:rFonts w:ascii="Ubuntu" w:hAnsi="Ubuntu" w:cs="Arial"/>
          <w:color w:val="303030"/>
          <w:sz w:val="16"/>
          <w:szCs w:val="16"/>
          <w:shd w:val="clear" w:color="auto" w:fill="FFFFFF"/>
        </w:rPr>
        <w:t>, </w:t>
      </w:r>
      <w:r w:rsidRPr="009E193C">
        <w:rPr>
          <w:rFonts w:ascii="Ubuntu" w:hAnsi="Ubuntu" w:cs="Arial"/>
          <w:i/>
          <w:iCs/>
          <w:color w:val="303030"/>
          <w:sz w:val="16"/>
          <w:szCs w:val="16"/>
          <w:shd w:val="clear" w:color="auto" w:fill="FFFFFF"/>
        </w:rPr>
        <w:t>164</w:t>
      </w:r>
      <w:r w:rsidRPr="009E193C">
        <w:rPr>
          <w:rFonts w:ascii="Ubuntu" w:hAnsi="Ubuntu" w:cs="Arial"/>
          <w:color w:val="303030"/>
          <w:sz w:val="16"/>
          <w:szCs w:val="16"/>
          <w:shd w:val="clear" w:color="auto" w:fill="FFFFFF"/>
        </w:rPr>
        <w:t xml:space="preserve">(1), 9–16. </w:t>
      </w:r>
      <w:hyperlink r:id="rId5" w:history="1">
        <w:r w:rsidRPr="009E193C">
          <w:rPr>
            <w:rStyle w:val="Hyperlink"/>
            <w:rFonts w:ascii="Ubuntu" w:hAnsi="Ubuntu" w:cs="Arial"/>
            <w:sz w:val="16"/>
            <w:szCs w:val="16"/>
            <w:shd w:val="clear" w:color="auto" w:fill="FFFFFF"/>
          </w:rPr>
          <w:t>https://doi.org/10.1111/j.1365-2249.2011.04335.x</w:t>
        </w:r>
      </w:hyperlink>
      <w:r w:rsidRPr="009E193C">
        <w:rPr>
          <w:rFonts w:ascii="Ubuntu" w:hAnsi="Ubuntu" w:cs="Arial"/>
          <w:color w:val="303030"/>
          <w:sz w:val="16"/>
          <w:szCs w:val="16"/>
          <w:shd w:val="clear" w:color="auto" w:fill="FFFFFF"/>
        </w:rPr>
        <w:t xml:space="preserve">. </w:t>
      </w:r>
      <w:r w:rsidRPr="009E193C">
        <w:rPr>
          <w:rFonts w:ascii="Ubuntu" w:hAnsi="Ubuntu"/>
          <w:sz w:val="16"/>
          <w:szCs w:val="16"/>
        </w:rPr>
        <w:t xml:space="preserve">Garuti, Giancarlo &amp; Bandelli, Gian &amp; Lusuardi, Mirco. (2020). Respiratory complications in Cerebral Palsy: physiopathological consequences and clinical manifestations. </w:t>
      </w:r>
      <w:r w:rsidRPr="009E193C">
        <w:rPr>
          <w:rFonts w:ascii="Ubuntu" w:hAnsi="Ubuntu"/>
          <w:i/>
          <w:sz w:val="16"/>
          <w:szCs w:val="16"/>
        </w:rPr>
        <w:t>Open Journal of Pulmonology and Respiratory Medicine</w:t>
      </w:r>
      <w:r w:rsidRPr="009E193C">
        <w:rPr>
          <w:rFonts w:ascii="Ubuntu" w:hAnsi="Ubuntu"/>
          <w:sz w:val="16"/>
          <w:szCs w:val="16"/>
        </w:rPr>
        <w:t>. 10.36811/ojprm.2020.110006.</w:t>
      </w:r>
    </w:p>
  </w:endnote>
  <w:endnote w:id="4">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O'Dwyer, M., Peklar, J., McCallion, P., McCarron, M., &amp; Henman, M.C. (2016). Factors associated with polypharmacy and excessive polypharmacy in older people with intellectual disability differ from the general population: a cross-sectional observational nationwide study. </w:t>
      </w:r>
      <w:r w:rsidRPr="009E193C">
        <w:rPr>
          <w:rFonts w:ascii="Ubuntu" w:hAnsi="Ubuntu"/>
          <w:i/>
          <w:sz w:val="16"/>
          <w:szCs w:val="16"/>
        </w:rPr>
        <w:t>BMJ Open</w:t>
      </w:r>
      <w:r w:rsidRPr="009E193C">
        <w:rPr>
          <w:rFonts w:ascii="Ubuntu" w:hAnsi="Ubuntu"/>
          <w:sz w:val="16"/>
          <w:szCs w:val="16"/>
        </w:rPr>
        <w:t xml:space="preserve"> </w:t>
      </w:r>
      <w:r w:rsidRPr="009E193C">
        <w:rPr>
          <w:rFonts w:ascii="Ubuntu" w:hAnsi="Ubuntu"/>
          <w:i/>
          <w:sz w:val="16"/>
          <w:szCs w:val="16"/>
        </w:rPr>
        <w:t>6</w:t>
      </w:r>
      <w:r w:rsidRPr="009E193C">
        <w:rPr>
          <w:rFonts w:ascii="Ubuntu" w:hAnsi="Ubuntu"/>
          <w:sz w:val="16"/>
          <w:szCs w:val="16"/>
        </w:rPr>
        <w:t xml:space="preserve">(4). </w:t>
      </w:r>
      <w:hyperlink r:id="rId6" w:history="1">
        <w:r w:rsidRPr="009E193C">
          <w:rPr>
            <w:rStyle w:val="Hyperlink"/>
            <w:rFonts w:ascii="Ubuntu" w:hAnsi="Ubuntu"/>
            <w:sz w:val="16"/>
            <w:szCs w:val="16"/>
          </w:rPr>
          <w:t>https://doi.org/10.1136/bmjopen-2015-010505</w:t>
        </w:r>
      </w:hyperlink>
      <w:r w:rsidRPr="009E193C">
        <w:rPr>
          <w:rFonts w:ascii="Ubuntu" w:hAnsi="Ubuntu"/>
          <w:sz w:val="16"/>
          <w:szCs w:val="16"/>
        </w:rPr>
        <w:t xml:space="preserve">. </w:t>
      </w:r>
    </w:p>
  </w:endnote>
  <w:endnote w:id="5">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Zhou, F., Yu, T., Du, R., Gan, F., Liu, Y., Liu, Z., Xiang, J., Wang, Y., Song, B., Gu, X., Guan, L., Wei, Y., Li, H., Wu, X., Xu, J., Tu, S., Zhang, Y., Chen, H., Cao, B. (2020). Clinical course and risk factors for mortality of adult inpatients with COVID-19 in Wuhan, China: a retrospective cohort study.</w:t>
      </w:r>
      <w:r w:rsidRPr="009E193C">
        <w:rPr>
          <w:rFonts w:ascii="Ubuntu" w:hAnsi="Ubuntu"/>
          <w:i/>
          <w:sz w:val="16"/>
          <w:szCs w:val="16"/>
        </w:rPr>
        <w:t xml:space="preserve"> The Lancet 395</w:t>
      </w:r>
      <w:r w:rsidRPr="009E193C">
        <w:rPr>
          <w:rFonts w:ascii="Ubuntu" w:hAnsi="Ubuntu"/>
          <w:sz w:val="16"/>
          <w:szCs w:val="16"/>
        </w:rPr>
        <w:t xml:space="preserve">(10229), 1054-1062.  </w:t>
      </w:r>
      <w:hyperlink r:id="rId7" w:history="1">
        <w:r w:rsidRPr="003A69A9">
          <w:rPr>
            <w:rStyle w:val="Hyperlink"/>
            <w:rFonts w:ascii="Ubuntu" w:hAnsi="Ubuntu"/>
            <w:sz w:val="16"/>
            <w:szCs w:val="16"/>
          </w:rPr>
          <w:t>https://doi.org/10.1016/S0140-6736(20)30566-3</w:t>
        </w:r>
      </w:hyperlink>
      <w:r w:rsidRPr="003A69A9">
        <w:rPr>
          <w:rFonts w:ascii="Ubuntu" w:hAnsi="Ubuntu"/>
          <w:sz w:val="16"/>
          <w:szCs w:val="16"/>
        </w:rPr>
        <w:t xml:space="preserve">. </w:t>
      </w:r>
      <w:r w:rsidRPr="009E193C">
        <w:rPr>
          <w:rFonts w:ascii="Ubuntu" w:hAnsi="Ubuntu"/>
          <w:sz w:val="16"/>
          <w:szCs w:val="16"/>
        </w:rPr>
        <w:t xml:space="preserve">Guan, W., Liang, W., Zhao, Y., Liang, H., Chen, Z., Li, Y., Liu, X., Chen, R., Tang, C., Wang, T., Ou, C., Li, L., Chen, P., Sang, L., Wang, W., Li, J., Li, C., Ou, Li., Cheng, B., Xiong, S., et al. (2020). Comorbidity and its impact on 1590 patients with Covid-19 in China: A Nationwide Analysis. </w:t>
      </w:r>
      <w:r w:rsidRPr="009E193C">
        <w:rPr>
          <w:rFonts w:ascii="Ubuntu" w:hAnsi="Ubuntu"/>
          <w:i/>
          <w:sz w:val="16"/>
          <w:szCs w:val="16"/>
        </w:rPr>
        <w:t>European Respiratory Journal 55</w:t>
      </w:r>
      <w:r w:rsidRPr="009E193C">
        <w:rPr>
          <w:rFonts w:ascii="Ubuntu" w:hAnsi="Ubuntu"/>
          <w:sz w:val="16"/>
          <w:szCs w:val="16"/>
        </w:rPr>
        <w:t xml:space="preserve">(5). </w:t>
      </w:r>
      <w:hyperlink r:id="rId8" w:history="1">
        <w:r w:rsidRPr="009E193C">
          <w:rPr>
            <w:rStyle w:val="Hyperlink"/>
            <w:rFonts w:ascii="Ubuntu" w:hAnsi="Ubuntu"/>
            <w:sz w:val="16"/>
            <w:szCs w:val="16"/>
          </w:rPr>
          <w:t>https://doi.org/</w:t>
        </w:r>
        <w:r w:rsidRPr="009E193C">
          <w:rPr>
            <w:rStyle w:val="Hyperlink"/>
            <w:rFonts w:ascii="Ubuntu" w:hAnsi="Ubuntu"/>
            <w:sz w:val="16"/>
            <w:szCs w:val="16"/>
            <w:shd w:val="clear" w:color="auto" w:fill="FFFFFF"/>
          </w:rPr>
          <w:t>10.1183/13993003.00547-2020</w:t>
        </w:r>
      </w:hyperlink>
      <w:r w:rsidRPr="009E193C">
        <w:rPr>
          <w:rFonts w:ascii="Ubuntu" w:hAnsi="Ubuntu"/>
          <w:color w:val="000000"/>
          <w:sz w:val="16"/>
          <w:szCs w:val="16"/>
          <w:shd w:val="clear" w:color="auto" w:fill="FFFFFF"/>
        </w:rPr>
        <w:t xml:space="preserve">.  </w:t>
      </w:r>
      <w:r w:rsidRPr="009E193C">
        <w:rPr>
          <w:rFonts w:ascii="Ubuntu" w:hAnsi="Ubuntu"/>
          <w:sz w:val="16"/>
          <w:szCs w:val="16"/>
        </w:rPr>
        <w:t xml:space="preserve"> </w:t>
      </w:r>
    </w:p>
  </w:endnote>
  <w:endnote w:id="6">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Davis, S. (2016). Asthma in intellectual disability: are we managing our patients appropriately? </w:t>
      </w:r>
      <w:r w:rsidRPr="009E193C">
        <w:rPr>
          <w:rFonts w:ascii="Ubuntu" w:hAnsi="Ubuntu"/>
          <w:i/>
          <w:sz w:val="16"/>
          <w:szCs w:val="16"/>
        </w:rPr>
        <w:t>Breathe 12</w:t>
      </w:r>
      <w:r w:rsidRPr="009E193C">
        <w:rPr>
          <w:rFonts w:ascii="Ubuntu" w:hAnsi="Ubuntu"/>
          <w:sz w:val="16"/>
          <w:szCs w:val="16"/>
        </w:rPr>
        <w:t xml:space="preserve">(4), 310-317. </w:t>
      </w:r>
      <w:hyperlink r:id="rId9" w:history="1">
        <w:r w:rsidRPr="009E193C">
          <w:rPr>
            <w:rStyle w:val="Hyperlink"/>
            <w:rFonts w:ascii="Ubuntu" w:hAnsi="Ubuntu" w:cs="Arial"/>
            <w:sz w:val="16"/>
            <w:szCs w:val="16"/>
            <w:shd w:val="clear" w:color="auto" w:fill="FFFFFF"/>
          </w:rPr>
          <w:t>https://doi.org/10.1183/20734735.014716</w:t>
        </w:r>
      </w:hyperlink>
      <w:r w:rsidRPr="009E193C">
        <w:rPr>
          <w:rFonts w:ascii="Ubuntu" w:hAnsi="Ubuntu" w:cs="Arial"/>
          <w:color w:val="303030"/>
          <w:sz w:val="16"/>
          <w:szCs w:val="16"/>
          <w:shd w:val="clear" w:color="auto" w:fill="FFFFFF"/>
        </w:rPr>
        <w:t xml:space="preserve">. Axmon, A., Höglund, P., &amp; Ahlström, G. (2017). Chronic Respiratory Disorders and Their Treatment among Older People with Intellectual Disability and/or Autism Spectrum Disorder in Comparison with the General Population. </w:t>
      </w:r>
      <w:r w:rsidRPr="009E193C">
        <w:rPr>
          <w:rFonts w:ascii="Ubuntu" w:hAnsi="Ubuntu" w:cs="Arial"/>
          <w:i/>
          <w:color w:val="303030"/>
          <w:sz w:val="16"/>
          <w:szCs w:val="16"/>
          <w:shd w:val="clear" w:color="auto" w:fill="FFFFFF"/>
        </w:rPr>
        <w:t>Healthcare 5</w:t>
      </w:r>
      <w:r w:rsidRPr="009E193C">
        <w:rPr>
          <w:rFonts w:ascii="Ubuntu" w:hAnsi="Ubuntu" w:cs="Arial"/>
          <w:color w:val="303030"/>
          <w:sz w:val="16"/>
          <w:szCs w:val="16"/>
          <w:shd w:val="clear" w:color="auto" w:fill="FFFFFF"/>
        </w:rPr>
        <w:t xml:space="preserve">(3), 40. </w:t>
      </w:r>
      <w:hyperlink r:id="rId10" w:history="1">
        <w:r w:rsidRPr="009E193C">
          <w:rPr>
            <w:rStyle w:val="Hyperlink"/>
            <w:rFonts w:ascii="Ubuntu" w:hAnsi="Ubuntu" w:cs="Arial"/>
            <w:sz w:val="16"/>
            <w:szCs w:val="16"/>
            <w:shd w:val="clear" w:color="auto" w:fill="FFFFFF"/>
          </w:rPr>
          <w:t>https://doi.org/10.3390/healthcare5030040</w:t>
        </w:r>
      </w:hyperlink>
      <w:r w:rsidRPr="009E193C">
        <w:rPr>
          <w:rFonts w:ascii="Ubuntu" w:hAnsi="Ubuntu" w:cs="Arial"/>
          <w:color w:val="303030"/>
          <w:sz w:val="16"/>
          <w:szCs w:val="16"/>
          <w:shd w:val="clear" w:color="auto" w:fill="FFFFFF"/>
        </w:rPr>
        <w:t xml:space="preserve">. </w:t>
      </w:r>
    </w:p>
  </w:endnote>
  <w:endnote w:id="7">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w:t>
      </w:r>
      <w:r w:rsidRPr="009E193C">
        <w:rPr>
          <w:rFonts w:ascii="Ubuntu" w:hAnsi="Ubuntu" w:cs="Arial"/>
          <w:color w:val="303030"/>
          <w:sz w:val="16"/>
          <w:szCs w:val="16"/>
          <w:shd w:val="clear" w:color="auto" w:fill="FFFFFF"/>
        </w:rPr>
        <w:t>Bhupathiraju, S. N., &amp; Hu, F. B. (2016). Epidemiology of Obesity and Diabetes and Their Cardiovascular Complications. </w:t>
      </w:r>
      <w:r w:rsidRPr="009E193C">
        <w:rPr>
          <w:rFonts w:ascii="Ubuntu" w:hAnsi="Ubuntu" w:cs="Arial"/>
          <w:i/>
          <w:iCs/>
          <w:color w:val="303030"/>
          <w:sz w:val="16"/>
          <w:szCs w:val="16"/>
          <w:shd w:val="clear" w:color="auto" w:fill="FFFFFF"/>
        </w:rPr>
        <w:t>Circulation research</w:t>
      </w:r>
      <w:r w:rsidRPr="009E193C">
        <w:rPr>
          <w:rFonts w:ascii="Ubuntu" w:hAnsi="Ubuntu" w:cs="Arial"/>
          <w:color w:val="303030"/>
          <w:sz w:val="16"/>
          <w:szCs w:val="16"/>
          <w:shd w:val="clear" w:color="auto" w:fill="FFFFFF"/>
        </w:rPr>
        <w:t>, </w:t>
      </w:r>
      <w:r w:rsidRPr="009E193C">
        <w:rPr>
          <w:rFonts w:ascii="Ubuntu" w:hAnsi="Ubuntu" w:cs="Arial"/>
          <w:i/>
          <w:iCs/>
          <w:color w:val="303030"/>
          <w:sz w:val="16"/>
          <w:szCs w:val="16"/>
          <w:shd w:val="clear" w:color="auto" w:fill="FFFFFF"/>
        </w:rPr>
        <w:t>118</w:t>
      </w:r>
      <w:r w:rsidRPr="009E193C">
        <w:rPr>
          <w:rFonts w:ascii="Ubuntu" w:hAnsi="Ubuntu" w:cs="Arial"/>
          <w:color w:val="303030"/>
          <w:sz w:val="16"/>
          <w:szCs w:val="16"/>
          <w:shd w:val="clear" w:color="auto" w:fill="FFFFFF"/>
        </w:rPr>
        <w:t xml:space="preserve">(11), 1723–1735. </w:t>
      </w:r>
      <w:hyperlink r:id="rId11" w:history="1">
        <w:r w:rsidRPr="009E193C">
          <w:rPr>
            <w:rStyle w:val="Hyperlink"/>
            <w:rFonts w:ascii="Ubuntu" w:hAnsi="Ubuntu" w:cs="Arial"/>
            <w:sz w:val="16"/>
            <w:szCs w:val="16"/>
            <w:shd w:val="clear" w:color="auto" w:fill="FFFFFF"/>
          </w:rPr>
          <w:t>https://doi.org/10.1161/CIRCRESAHA.115.306825</w:t>
        </w:r>
      </w:hyperlink>
      <w:r w:rsidRPr="009E193C">
        <w:rPr>
          <w:rFonts w:ascii="Ubuntu" w:hAnsi="Ubuntu" w:cs="Arial"/>
          <w:color w:val="303030"/>
          <w:sz w:val="16"/>
          <w:szCs w:val="16"/>
          <w:shd w:val="clear" w:color="auto" w:fill="FFFFFF"/>
        </w:rPr>
        <w:t xml:space="preserve">. Powell, A. (2012). </w:t>
      </w:r>
      <w:r w:rsidRPr="009E193C">
        <w:rPr>
          <w:rFonts w:ascii="Ubuntu" w:hAnsi="Ubuntu" w:cs="Arial"/>
          <w:i/>
          <w:color w:val="303030"/>
          <w:sz w:val="16"/>
          <w:szCs w:val="16"/>
          <w:shd w:val="clear" w:color="auto" w:fill="FFFFFF"/>
        </w:rPr>
        <w:t>Obesity? Diabetes? We’ve been set up</w:t>
      </w:r>
      <w:r w:rsidRPr="009E193C">
        <w:rPr>
          <w:rFonts w:ascii="Ubuntu" w:hAnsi="Ubuntu" w:cs="Arial"/>
          <w:color w:val="303030"/>
          <w:sz w:val="16"/>
          <w:szCs w:val="16"/>
          <w:shd w:val="clear" w:color="auto" w:fill="FFFFFF"/>
        </w:rPr>
        <w:t xml:space="preserve">. The Harvard Gazette. </w:t>
      </w:r>
      <w:hyperlink r:id="rId12" w:history="1">
        <w:r w:rsidRPr="009E193C">
          <w:rPr>
            <w:rStyle w:val="Hyperlink"/>
            <w:rFonts w:ascii="Ubuntu" w:hAnsi="Ubuntu"/>
            <w:sz w:val="16"/>
            <w:szCs w:val="16"/>
          </w:rPr>
          <w:t>https://news.harvard.edu/gazette/story/2012/03/the-big-setup/</w:t>
        </w:r>
      </w:hyperlink>
      <w:r w:rsidRPr="009E193C">
        <w:rPr>
          <w:rStyle w:val="Hyperlink"/>
          <w:rFonts w:ascii="Ubuntu" w:hAnsi="Ubuntu"/>
          <w:sz w:val="16"/>
          <w:szCs w:val="16"/>
        </w:rPr>
        <w:t>.</w:t>
      </w:r>
    </w:p>
  </w:endnote>
  <w:endnote w:id="8">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w:t>
      </w:r>
      <w:r w:rsidRPr="009E193C">
        <w:rPr>
          <w:rFonts w:ascii="Ubuntu" w:hAnsi="Ubuntu"/>
          <w:i/>
          <w:sz w:val="16"/>
          <w:szCs w:val="16"/>
        </w:rPr>
        <w:t>Obesity and overweight: Key facts</w:t>
      </w:r>
      <w:r w:rsidRPr="009E193C">
        <w:rPr>
          <w:rFonts w:ascii="Ubuntu" w:hAnsi="Ubuntu"/>
          <w:sz w:val="16"/>
          <w:szCs w:val="16"/>
        </w:rPr>
        <w:t xml:space="preserve">. (2020). World Health Organization. </w:t>
      </w:r>
      <w:hyperlink r:id="rId13" w:history="1">
        <w:r w:rsidRPr="009E193C">
          <w:rPr>
            <w:rStyle w:val="Hyperlink"/>
            <w:rFonts w:ascii="Ubuntu" w:hAnsi="Ubuntu"/>
            <w:sz w:val="16"/>
            <w:szCs w:val="16"/>
          </w:rPr>
          <w:t>https://www.who.int/news-room/fact-sheets/detail/obesity-and-overweight</w:t>
        </w:r>
      </w:hyperlink>
      <w:r w:rsidRPr="009E193C">
        <w:rPr>
          <w:rFonts w:ascii="Ubuntu" w:hAnsi="Ubuntu"/>
          <w:sz w:val="16"/>
          <w:szCs w:val="16"/>
        </w:rPr>
        <w:t xml:space="preserve">. </w:t>
      </w:r>
      <w:r w:rsidRPr="009E193C">
        <w:rPr>
          <w:rFonts w:ascii="Ubuntu" w:hAnsi="Ubuntu"/>
          <w:i/>
          <w:sz w:val="16"/>
          <w:szCs w:val="16"/>
        </w:rPr>
        <w:t>Adult Obesity Key Facts.</w:t>
      </w:r>
      <w:r w:rsidRPr="009E193C">
        <w:rPr>
          <w:rFonts w:ascii="Ubuntu" w:hAnsi="Ubuntu"/>
          <w:sz w:val="16"/>
          <w:szCs w:val="16"/>
        </w:rPr>
        <w:t xml:space="preserve"> Centers for Disease Control and Prevention. </w:t>
      </w:r>
      <w:hyperlink r:id="rId14" w:history="1">
        <w:r w:rsidRPr="009E193C">
          <w:rPr>
            <w:rStyle w:val="Hyperlink"/>
            <w:rFonts w:ascii="Ubuntu" w:hAnsi="Ubuntu"/>
            <w:sz w:val="16"/>
            <w:szCs w:val="16"/>
          </w:rPr>
          <w:t>https://www.cdc.gov/obesity/data/adult.html</w:t>
        </w:r>
      </w:hyperlink>
      <w:r w:rsidRPr="009E193C">
        <w:rPr>
          <w:rFonts w:ascii="Ubuntu" w:hAnsi="Ubuntu"/>
          <w:sz w:val="16"/>
          <w:szCs w:val="16"/>
        </w:rPr>
        <w:t xml:space="preserve">. Per the WHO, 39% of adults 18+ are overweight; among adult Special Olympics athletes, the overweight percentage is 27.9%. </w:t>
      </w:r>
    </w:p>
  </w:endnote>
  <w:endnote w:id="9">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w:t>
      </w:r>
      <w:r w:rsidRPr="009E193C">
        <w:rPr>
          <w:rFonts w:ascii="Ubuntu" w:hAnsi="Ubuntu" w:cs="Segoe UI"/>
          <w:color w:val="000000"/>
          <w:sz w:val="16"/>
          <w:szCs w:val="16"/>
          <w:shd w:val="clear" w:color="auto" w:fill="FFFFFF"/>
        </w:rPr>
        <w:t xml:space="preserve">Stevens A., Courtney-Long E., Gillespie C., &amp; Armour B.S. (2014). Hypertension Among US Adults by Disability Status and Type, National Health and Nutrition Examination Survey, 2001–2010. </w:t>
      </w:r>
      <w:r w:rsidRPr="009E193C">
        <w:rPr>
          <w:rFonts w:ascii="Ubuntu" w:hAnsi="Ubuntu" w:cs="Segoe UI"/>
          <w:i/>
          <w:color w:val="000000"/>
          <w:sz w:val="16"/>
          <w:szCs w:val="16"/>
          <w:shd w:val="clear" w:color="auto" w:fill="FFFFFF"/>
        </w:rPr>
        <w:t>Preventing Chronic Disease</w:t>
      </w:r>
      <w:r w:rsidRPr="009E193C">
        <w:rPr>
          <w:rFonts w:ascii="Ubuntu" w:hAnsi="Ubuntu" w:cs="Segoe UI"/>
          <w:color w:val="000000"/>
          <w:sz w:val="16"/>
          <w:szCs w:val="16"/>
          <w:shd w:val="clear" w:color="auto" w:fill="FFFFFF"/>
        </w:rPr>
        <w:t xml:space="preserve"> </w:t>
      </w:r>
      <w:r w:rsidRPr="009E193C">
        <w:rPr>
          <w:rFonts w:ascii="Ubuntu" w:hAnsi="Ubuntu" w:cs="Segoe UI"/>
          <w:i/>
          <w:color w:val="000000"/>
          <w:sz w:val="16"/>
          <w:szCs w:val="16"/>
          <w:shd w:val="clear" w:color="auto" w:fill="FFFFFF"/>
        </w:rPr>
        <w:t>11</w:t>
      </w:r>
      <w:r w:rsidRPr="009E193C">
        <w:rPr>
          <w:rFonts w:ascii="Ubuntu" w:hAnsi="Ubuntu" w:cs="Segoe UI"/>
          <w:color w:val="000000"/>
          <w:sz w:val="16"/>
          <w:szCs w:val="16"/>
          <w:shd w:val="clear" w:color="auto" w:fill="FFFFFF"/>
        </w:rPr>
        <w:t xml:space="preserve">(140162). </w:t>
      </w:r>
      <w:hyperlink r:id="rId15" w:history="1">
        <w:r w:rsidRPr="009E193C">
          <w:rPr>
            <w:rStyle w:val="Hyperlink"/>
            <w:rFonts w:ascii="Ubuntu" w:hAnsi="Ubuntu" w:cs="Segoe UI"/>
            <w:sz w:val="16"/>
            <w:szCs w:val="16"/>
            <w:shd w:val="clear" w:color="auto" w:fill="FFFFFF"/>
          </w:rPr>
          <w:t>http://dx.doi.org/10.5888/pcd11.140162</w:t>
        </w:r>
      </w:hyperlink>
      <w:r w:rsidRPr="009E193C">
        <w:rPr>
          <w:rFonts w:ascii="Ubuntu" w:hAnsi="Ubuntu" w:cs="Segoe UI"/>
          <w:color w:val="000000"/>
          <w:sz w:val="16"/>
          <w:szCs w:val="16"/>
          <w:shd w:val="clear" w:color="auto" w:fill="FFFFFF"/>
        </w:rPr>
        <w:t xml:space="preserve">. </w:t>
      </w:r>
      <w:r w:rsidRPr="009E193C">
        <w:rPr>
          <w:rStyle w:val="Hyperlink"/>
          <w:rFonts w:ascii="Ubuntu" w:hAnsi="Ubuntu"/>
          <w:sz w:val="16"/>
          <w:szCs w:val="16"/>
        </w:rPr>
        <w:t xml:space="preserve"> </w:t>
      </w:r>
    </w:p>
  </w:endnote>
  <w:endnote w:id="10">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w:t>
      </w:r>
      <w:r w:rsidRPr="009E193C">
        <w:rPr>
          <w:rFonts w:ascii="Ubuntu" w:hAnsi="Ubuntu"/>
          <w:i/>
          <w:sz w:val="16"/>
          <w:szCs w:val="16"/>
        </w:rPr>
        <w:t>Deinstitutionalization Toolkit: INSTITUTIONS – inBRIEF</w:t>
      </w:r>
      <w:r w:rsidRPr="009E193C">
        <w:rPr>
          <w:rFonts w:ascii="Ubuntu" w:hAnsi="Ubuntu"/>
          <w:sz w:val="16"/>
          <w:szCs w:val="16"/>
        </w:rPr>
        <w:t xml:space="preserve">. National Council on Disability. </w:t>
      </w:r>
      <w:hyperlink r:id="rId16" w:history="1">
        <w:r w:rsidRPr="009E193C">
          <w:rPr>
            <w:rStyle w:val="Hyperlink"/>
            <w:rFonts w:ascii="Ubuntu" w:hAnsi="Ubuntu"/>
            <w:sz w:val="16"/>
            <w:szCs w:val="16"/>
          </w:rPr>
          <w:t>https://ncd.gov/publications/2012/DIToolkit/Institutions/inBrief/</w:t>
        </w:r>
      </w:hyperlink>
      <w:r w:rsidRPr="009E193C">
        <w:rPr>
          <w:rStyle w:val="Hyperlink"/>
          <w:rFonts w:ascii="Ubuntu" w:hAnsi="Ubuntu"/>
          <w:sz w:val="16"/>
          <w:szCs w:val="16"/>
        </w:rPr>
        <w:t xml:space="preserve">. </w:t>
      </w:r>
      <w:r w:rsidRPr="009E193C">
        <w:rPr>
          <w:rFonts w:ascii="Ubuntu" w:hAnsi="Ubuntu"/>
          <w:i/>
          <w:sz w:val="16"/>
          <w:szCs w:val="16"/>
        </w:rPr>
        <w:t>Institutions: Definitions, Populations, and Trends</w:t>
      </w:r>
      <w:r w:rsidRPr="009E193C">
        <w:rPr>
          <w:rFonts w:ascii="Ubuntu" w:hAnsi="Ubuntu"/>
          <w:sz w:val="16"/>
          <w:szCs w:val="16"/>
        </w:rPr>
        <w:t>. National Council on Disability.</w:t>
      </w:r>
      <w:r w:rsidRPr="009E193C">
        <w:rPr>
          <w:rStyle w:val="Hyperlink"/>
          <w:rFonts w:ascii="Ubuntu" w:hAnsi="Ubuntu"/>
          <w:sz w:val="16"/>
          <w:szCs w:val="16"/>
        </w:rPr>
        <w:t xml:space="preserve"> </w:t>
      </w:r>
      <w:hyperlink r:id="rId17" w:history="1">
        <w:r w:rsidRPr="009E193C">
          <w:rPr>
            <w:rStyle w:val="Hyperlink"/>
            <w:rFonts w:ascii="Ubuntu" w:hAnsi="Ubuntu"/>
            <w:sz w:val="16"/>
            <w:szCs w:val="16"/>
          </w:rPr>
          <w:t>https://ncd.gov/publications/2012/Sept192012/Institutions</w:t>
        </w:r>
      </w:hyperlink>
    </w:p>
  </w:endnote>
  <w:endnote w:id="11">
    <w:p w:rsidR="0012185B" w:rsidRPr="009E193C" w:rsidRDefault="0012185B" w:rsidP="0012185B">
      <w:pPr>
        <w:spacing w:after="0" w:line="240" w:lineRule="auto"/>
        <w:rPr>
          <w:rFonts w:ascii="Ubuntu" w:eastAsia="Times New Roman"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Coronavirus in the US. </w:t>
      </w:r>
      <w:r w:rsidRPr="009E193C">
        <w:rPr>
          <w:rFonts w:ascii="Ubuntu" w:hAnsi="Ubuntu"/>
          <w:i/>
          <w:sz w:val="16"/>
          <w:szCs w:val="16"/>
        </w:rPr>
        <w:t>New York Times</w:t>
      </w:r>
      <w:r w:rsidRPr="009E193C">
        <w:rPr>
          <w:rFonts w:ascii="Ubuntu" w:hAnsi="Ubuntu"/>
          <w:sz w:val="16"/>
          <w:szCs w:val="16"/>
        </w:rPr>
        <w:t xml:space="preserve">. </w:t>
      </w:r>
      <w:hyperlink r:id="rId18" w:history="1">
        <w:r w:rsidRPr="009E193C">
          <w:rPr>
            <w:rStyle w:val="Hyperlink"/>
            <w:rFonts w:ascii="Ubuntu" w:hAnsi="Ubuntu"/>
            <w:sz w:val="16"/>
            <w:szCs w:val="16"/>
          </w:rPr>
          <w:t>https://www.nytimes.com/interactive/2020/us/coronavirus-us-cases.html</w:t>
        </w:r>
      </w:hyperlink>
      <w:r w:rsidRPr="009E193C">
        <w:rPr>
          <w:rStyle w:val="Hyperlink"/>
          <w:rFonts w:ascii="Ubuntu" w:hAnsi="Ubuntu"/>
          <w:sz w:val="16"/>
          <w:szCs w:val="16"/>
        </w:rPr>
        <w:t xml:space="preserve">. </w:t>
      </w:r>
      <w:r w:rsidRPr="003B3CCC">
        <w:rPr>
          <w:rStyle w:val="Hyperlink"/>
          <w:rFonts w:ascii="Ubuntu" w:hAnsi="Ubuntu"/>
          <w:color w:val="000000" w:themeColor="text1"/>
          <w:sz w:val="16"/>
          <w:szCs w:val="16"/>
          <w:u w:val="none"/>
        </w:rPr>
        <w:t xml:space="preserve">Hakim, D. </w:t>
      </w:r>
      <w:r w:rsidRPr="003B3CCC">
        <w:rPr>
          <w:rStyle w:val="Hyperlink"/>
          <w:rFonts w:ascii="Ubuntu" w:hAnsi="Ubuntu"/>
          <w:i/>
          <w:color w:val="000000" w:themeColor="text1"/>
          <w:sz w:val="16"/>
          <w:szCs w:val="16"/>
          <w:u w:val="none"/>
        </w:rPr>
        <w:t>‘It’s Hit Our Front Door’: Homes for the Disabled See a Surge of Covid-19.</w:t>
      </w:r>
      <w:r w:rsidRPr="003B3CCC">
        <w:rPr>
          <w:rStyle w:val="Hyperlink"/>
          <w:rFonts w:ascii="Ubuntu" w:hAnsi="Ubuntu"/>
          <w:color w:val="000000" w:themeColor="text1"/>
          <w:sz w:val="16"/>
          <w:szCs w:val="16"/>
          <w:u w:val="none"/>
        </w:rPr>
        <w:t xml:space="preserve"> New York Times, April 8, 2020. </w:t>
      </w:r>
      <w:hyperlink r:id="rId19" w:history="1">
        <w:r w:rsidRPr="009E193C">
          <w:rPr>
            <w:rStyle w:val="Hyperlink"/>
            <w:rFonts w:ascii="Ubuntu" w:eastAsia="Times New Roman" w:hAnsi="Ubuntu"/>
            <w:sz w:val="16"/>
            <w:szCs w:val="16"/>
          </w:rPr>
          <w:t>https://www.nytimes.com/2020/04/08/nyregion/coronavirus-disabilities-group-homes.html?referringSource=articleShare</w:t>
        </w:r>
      </w:hyperlink>
      <w:r w:rsidRPr="009E193C">
        <w:rPr>
          <w:rStyle w:val="Hyperlink"/>
          <w:rFonts w:ascii="Ubuntu" w:eastAsia="Times New Roman" w:hAnsi="Ubuntu"/>
          <w:sz w:val="16"/>
          <w:szCs w:val="16"/>
        </w:rPr>
        <w:t>.</w:t>
      </w:r>
      <w:r w:rsidR="003B3CCC">
        <w:rPr>
          <w:rStyle w:val="Hyperlink"/>
          <w:rFonts w:ascii="Ubuntu" w:eastAsia="Times New Roman" w:hAnsi="Ubuntu"/>
          <w:sz w:val="16"/>
          <w:szCs w:val="16"/>
        </w:rPr>
        <w:t xml:space="preserve"> </w:t>
      </w:r>
      <w:r w:rsidR="003B3CCC" w:rsidRPr="00A53A8E">
        <w:rPr>
          <w:rFonts w:ascii="Ubuntu" w:hAnsi="Ubuntu"/>
          <w:sz w:val="16"/>
          <w:szCs w:val="16"/>
        </w:rPr>
        <w:t>Stockman, F., Richtel, M., Ivory, D. &amp; Smith, M. ‘</w:t>
      </w:r>
      <w:r w:rsidR="003B3CCC" w:rsidRPr="00A53A8E">
        <w:rPr>
          <w:rFonts w:ascii="Ubuntu" w:hAnsi="Ubuntu"/>
          <w:i/>
          <w:sz w:val="16"/>
          <w:szCs w:val="16"/>
        </w:rPr>
        <w:t>They’re Death Pits’: Virus Claims at Least 7,000 in U.S. Nursing Homes.</w:t>
      </w:r>
      <w:r w:rsidR="003B3CCC" w:rsidRPr="00A53A8E">
        <w:rPr>
          <w:rFonts w:ascii="Ubuntu" w:hAnsi="Ubuntu"/>
          <w:sz w:val="16"/>
          <w:szCs w:val="16"/>
        </w:rPr>
        <w:t xml:space="preserve"> New York Times, April 17, 2020. </w:t>
      </w:r>
      <w:hyperlink r:id="rId20" w:history="1">
        <w:r w:rsidR="003B3CCC" w:rsidRPr="00A53A8E">
          <w:rPr>
            <w:rStyle w:val="Hyperlink"/>
            <w:rFonts w:ascii="Ubuntu" w:hAnsi="Ubuntu"/>
            <w:sz w:val="16"/>
            <w:szCs w:val="16"/>
          </w:rPr>
          <w:t>https://www.nytimes.com/2020/04/17/us/coronavirus-nursing-homes.html</w:t>
        </w:r>
      </w:hyperlink>
      <w:r w:rsidR="003B3CCC" w:rsidRPr="00A53A8E">
        <w:rPr>
          <w:rFonts w:ascii="Ubuntu" w:hAnsi="Ubuntu"/>
          <w:sz w:val="16"/>
          <w:szCs w:val="16"/>
        </w:rPr>
        <w:t>.</w:t>
      </w:r>
    </w:p>
  </w:endnote>
  <w:endnote w:id="12">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Mahar, E., Sladen, J., &amp; Nitsch, C. </w:t>
      </w:r>
      <w:r w:rsidRPr="009E193C">
        <w:rPr>
          <w:rFonts w:ascii="Ubuntu" w:hAnsi="Ubuntu"/>
          <w:i/>
          <w:sz w:val="16"/>
          <w:szCs w:val="16"/>
        </w:rPr>
        <w:t>Older Caregivers of People with Intellectual &amp; Developmental Disabilities</w:t>
      </w:r>
      <w:r w:rsidRPr="009E193C">
        <w:rPr>
          <w:rFonts w:ascii="Ubuntu" w:hAnsi="Ubuntu"/>
          <w:sz w:val="16"/>
          <w:szCs w:val="16"/>
        </w:rPr>
        <w:t xml:space="preserve">. Grantmakers in Aging. </w:t>
      </w:r>
      <w:hyperlink r:id="rId21" w:history="1">
        <w:r w:rsidRPr="009E193C">
          <w:rPr>
            <w:rStyle w:val="Hyperlink"/>
            <w:rFonts w:ascii="Ubuntu" w:hAnsi="Ubuntu"/>
            <w:sz w:val="16"/>
            <w:szCs w:val="16"/>
          </w:rPr>
          <w:t>https://www.giaging.org/issues/older-caregivers-of-people-with-intellectual-developmental-disabilities/</w:t>
        </w:r>
      </w:hyperlink>
      <w:r w:rsidRPr="009E193C">
        <w:rPr>
          <w:rStyle w:val="Hyperlink"/>
          <w:rFonts w:ascii="Ubuntu" w:hAnsi="Ubuntu"/>
          <w:sz w:val="16"/>
          <w:szCs w:val="16"/>
        </w:rPr>
        <w:t xml:space="preserve">. </w:t>
      </w:r>
    </w:p>
  </w:endnote>
  <w:endnote w:id="13">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Abramson, A. (2020). </w:t>
      </w:r>
      <w:r w:rsidRPr="009E193C">
        <w:rPr>
          <w:rFonts w:ascii="Ubuntu" w:hAnsi="Ubuntu"/>
          <w:i/>
          <w:sz w:val="16"/>
          <w:szCs w:val="16"/>
        </w:rPr>
        <w:t xml:space="preserve">How COVID-19 may increase domestic violence and child abuse. </w:t>
      </w:r>
      <w:r w:rsidRPr="009E193C">
        <w:rPr>
          <w:rFonts w:ascii="Ubuntu" w:hAnsi="Ubuntu"/>
          <w:sz w:val="16"/>
          <w:szCs w:val="16"/>
        </w:rPr>
        <w:t>American Psychological Association.</w:t>
      </w:r>
      <w:r w:rsidRPr="009E193C">
        <w:rPr>
          <w:rFonts w:ascii="Ubuntu" w:hAnsi="Ubuntu"/>
          <w:i/>
          <w:sz w:val="16"/>
          <w:szCs w:val="16"/>
        </w:rPr>
        <w:t xml:space="preserve"> </w:t>
      </w:r>
      <w:hyperlink r:id="rId22" w:history="1">
        <w:r w:rsidRPr="009E193C">
          <w:rPr>
            <w:rStyle w:val="Hyperlink"/>
            <w:rFonts w:ascii="Ubuntu" w:hAnsi="Ubuntu"/>
            <w:sz w:val="16"/>
            <w:szCs w:val="16"/>
          </w:rPr>
          <w:t>https://www.apa.org/topics/covid-19/domestic-violence-child-abuse</w:t>
        </w:r>
      </w:hyperlink>
      <w:r w:rsidRPr="009E193C">
        <w:rPr>
          <w:rFonts w:ascii="Ubuntu" w:hAnsi="Ubuntu"/>
          <w:sz w:val="16"/>
          <w:szCs w:val="16"/>
        </w:rPr>
        <w:t xml:space="preserve"> </w:t>
      </w:r>
    </w:p>
  </w:endnote>
  <w:endnote w:id="14">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National Council on Disability. (2019). </w:t>
      </w:r>
      <w:r w:rsidRPr="009E193C">
        <w:rPr>
          <w:rFonts w:ascii="Ubuntu" w:hAnsi="Ubuntu"/>
          <w:i/>
          <w:sz w:val="16"/>
          <w:szCs w:val="16"/>
        </w:rPr>
        <w:t>Medical Futility and Disability Bias.</w:t>
      </w:r>
      <w:r w:rsidRPr="009E193C">
        <w:rPr>
          <w:rFonts w:ascii="Ubuntu" w:hAnsi="Ubuntu"/>
          <w:sz w:val="16"/>
          <w:szCs w:val="16"/>
        </w:rPr>
        <w:t xml:space="preserve"> </w:t>
      </w:r>
      <w:hyperlink r:id="rId23" w:history="1">
        <w:r w:rsidRPr="009E193C">
          <w:rPr>
            <w:rStyle w:val="Hyperlink"/>
            <w:rFonts w:ascii="Ubuntu" w:hAnsi="Ubuntu"/>
            <w:sz w:val="16"/>
            <w:szCs w:val="16"/>
          </w:rPr>
          <w:t>https://ncd.gov/sites/default/files/NCD_Medical_Futility_Report_508.pdf</w:t>
        </w:r>
      </w:hyperlink>
      <w:r w:rsidRPr="009E193C">
        <w:rPr>
          <w:rFonts w:ascii="Ubuntu" w:hAnsi="Ubuntu"/>
          <w:sz w:val="16"/>
          <w:szCs w:val="16"/>
        </w:rPr>
        <w:t>.</w:t>
      </w:r>
    </w:p>
  </w:endnote>
  <w:endnote w:id="15">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Emanuel, E.J., Persad, G., Upshur, R., Thome, B., Parker, M., Glickman, A., Zhang, C., Boyle, C., Smith, M., &amp; Phillips, J.P. (2020). Fair Allocation of Scarce Medical Resources in the Time of Covid-19. </w:t>
      </w:r>
      <w:r w:rsidRPr="009E193C">
        <w:rPr>
          <w:rFonts w:ascii="Ubuntu" w:hAnsi="Ubuntu"/>
          <w:i/>
          <w:sz w:val="16"/>
          <w:szCs w:val="16"/>
        </w:rPr>
        <w:t>New England Journal of Medicine 382</w:t>
      </w:r>
      <w:r w:rsidRPr="009E193C">
        <w:rPr>
          <w:rFonts w:ascii="Ubuntu" w:hAnsi="Ubuntu"/>
          <w:sz w:val="16"/>
          <w:szCs w:val="16"/>
        </w:rPr>
        <w:t xml:space="preserve">, 2049-2055. </w:t>
      </w:r>
      <w:hyperlink r:id="rId24" w:history="1">
        <w:r w:rsidRPr="009E193C">
          <w:rPr>
            <w:rStyle w:val="Hyperlink"/>
            <w:rFonts w:ascii="Ubuntu" w:hAnsi="Ubuntu"/>
            <w:sz w:val="16"/>
            <w:szCs w:val="16"/>
          </w:rPr>
          <w:t>https://doi.org/</w:t>
        </w:r>
        <w:r w:rsidRPr="009E193C">
          <w:rPr>
            <w:rStyle w:val="Hyperlink"/>
            <w:rFonts w:ascii="Ubuntu" w:hAnsi="Ubuntu"/>
            <w:sz w:val="16"/>
            <w:szCs w:val="16"/>
            <w:shd w:val="clear" w:color="auto" w:fill="FFFFFF"/>
          </w:rPr>
          <w:t>10.1056/NEJMsb2005114</w:t>
        </w:r>
      </w:hyperlink>
      <w:r w:rsidRPr="009E193C">
        <w:rPr>
          <w:rFonts w:ascii="Ubuntu" w:hAnsi="Ubuntu"/>
          <w:color w:val="666666"/>
          <w:sz w:val="16"/>
          <w:szCs w:val="16"/>
          <w:shd w:val="clear" w:color="auto" w:fill="FFFFFF"/>
        </w:rPr>
        <w:t xml:space="preserve">. </w:t>
      </w:r>
      <w:r w:rsidRPr="009E193C">
        <w:rPr>
          <w:rStyle w:val="Hyperlink"/>
          <w:rFonts w:ascii="Ubuntu" w:hAnsi="Ubuntu"/>
          <w:sz w:val="16"/>
          <w:szCs w:val="16"/>
        </w:rPr>
        <w:t xml:space="preserve"> </w:t>
      </w:r>
    </w:p>
  </w:endnote>
  <w:endnote w:id="16">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Hobbes, Necia. (2011). Out of the Frying Pan into the Fire: Heightened Discrimination &amp; Reduced Legal Safeguards When Pandemic Strikes. </w:t>
      </w:r>
      <w:r w:rsidRPr="009E193C">
        <w:rPr>
          <w:rFonts w:ascii="Ubuntu" w:hAnsi="Ubuntu"/>
          <w:i/>
          <w:sz w:val="16"/>
          <w:szCs w:val="16"/>
        </w:rPr>
        <w:t>University of Pittsburgh Law Review</w:t>
      </w:r>
      <w:r w:rsidRPr="009E193C">
        <w:rPr>
          <w:rFonts w:ascii="Ubuntu" w:hAnsi="Ubuntu"/>
          <w:sz w:val="16"/>
          <w:szCs w:val="16"/>
        </w:rPr>
        <w:t xml:space="preserve"> </w:t>
      </w:r>
      <w:r w:rsidRPr="009E193C">
        <w:rPr>
          <w:rFonts w:ascii="Ubuntu" w:hAnsi="Ubuntu"/>
          <w:i/>
          <w:sz w:val="16"/>
          <w:szCs w:val="16"/>
        </w:rPr>
        <w:t>72</w:t>
      </w:r>
      <w:r w:rsidRPr="009E193C">
        <w:rPr>
          <w:rFonts w:ascii="Ubuntu" w:hAnsi="Ubuntu"/>
          <w:sz w:val="16"/>
          <w:szCs w:val="16"/>
        </w:rPr>
        <w:t xml:space="preserve">, 779-823. </w:t>
      </w:r>
      <w:hyperlink r:id="rId25" w:history="1">
        <w:r w:rsidRPr="009E193C">
          <w:rPr>
            <w:rStyle w:val="Hyperlink"/>
            <w:rFonts w:ascii="Ubuntu" w:hAnsi="Ubuntu"/>
            <w:sz w:val="16"/>
            <w:szCs w:val="16"/>
          </w:rPr>
          <w:t>https://doi.org/10.5195/lawreview.2011.171</w:t>
        </w:r>
      </w:hyperlink>
      <w:r w:rsidRPr="009E193C">
        <w:rPr>
          <w:rFonts w:ascii="Ubuntu" w:hAnsi="Ubuntu"/>
          <w:sz w:val="16"/>
          <w:szCs w:val="16"/>
        </w:rPr>
        <w:t xml:space="preserve">. </w:t>
      </w:r>
    </w:p>
  </w:endnote>
  <w:endnote w:id="17">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Applying HHS’s Guidance for States and Health Care Providers on Avoiding Disability-Based Discrimination in Treatment Rationing. (2020). </w:t>
      </w:r>
      <w:hyperlink r:id="rId26" w:history="1">
        <w:r w:rsidRPr="009E193C">
          <w:rPr>
            <w:rStyle w:val="Hyperlink"/>
            <w:rFonts w:ascii="Ubuntu" w:hAnsi="Ubuntu"/>
            <w:sz w:val="16"/>
            <w:szCs w:val="16"/>
          </w:rPr>
          <w:t>http://thearc.org/wp-content/uploads/2020/04/Guidance-to-States-Hospitals_FINAL.pdf</w:t>
        </w:r>
      </w:hyperlink>
      <w:r w:rsidRPr="009E193C">
        <w:rPr>
          <w:rStyle w:val="Hyperlink"/>
          <w:rFonts w:ascii="Ubuntu" w:hAnsi="Ubuntu"/>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689" w:rsidRDefault="00E70689" w:rsidP="0012185B">
      <w:pPr>
        <w:spacing w:after="0" w:line="240" w:lineRule="auto"/>
      </w:pPr>
      <w:r>
        <w:separator/>
      </w:r>
    </w:p>
  </w:footnote>
  <w:footnote w:type="continuationSeparator" w:id="0">
    <w:p w:rsidR="00E70689" w:rsidRDefault="00E70689" w:rsidP="00121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22D1F"/>
    <w:multiLevelType w:val="hybridMultilevel"/>
    <w:tmpl w:val="691609BA"/>
    <w:lvl w:ilvl="0" w:tplc="3866072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230F5D"/>
    <w:multiLevelType w:val="hybridMultilevel"/>
    <w:tmpl w:val="14EAAC4E"/>
    <w:lvl w:ilvl="0" w:tplc="BDB0910C">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5B"/>
    <w:rsid w:val="0012185B"/>
    <w:rsid w:val="001C5D0C"/>
    <w:rsid w:val="00383E48"/>
    <w:rsid w:val="003B3CCC"/>
    <w:rsid w:val="004249E2"/>
    <w:rsid w:val="00477331"/>
    <w:rsid w:val="006A3A44"/>
    <w:rsid w:val="007A32E0"/>
    <w:rsid w:val="00CE680E"/>
    <w:rsid w:val="00CF68CD"/>
    <w:rsid w:val="00E70689"/>
    <w:rsid w:val="00F6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4EF7D-754B-40A8-AF29-A6EE6848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CCC"/>
  </w:style>
  <w:style w:type="paragraph" w:styleId="Heading1">
    <w:name w:val="heading 1"/>
    <w:basedOn w:val="Normal"/>
    <w:next w:val="Normal"/>
    <w:link w:val="Heading1Char"/>
    <w:uiPriority w:val="9"/>
    <w:qFormat/>
    <w:rsid w:val="0012185B"/>
    <w:pPr>
      <w:keepNext/>
      <w:keepLines/>
      <w:spacing w:before="240" w:after="0"/>
      <w:outlineLvl w:val="0"/>
    </w:pPr>
    <w:rPr>
      <w:rFonts w:ascii="Ubuntu" w:eastAsiaTheme="majorEastAsia" w:hAnsi="Ubuntu"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85B"/>
    <w:rPr>
      <w:rFonts w:ascii="Ubuntu" w:eastAsiaTheme="majorEastAsia" w:hAnsi="Ubuntu" w:cstheme="majorBidi"/>
      <w:color w:val="2E74B5" w:themeColor="accent1" w:themeShade="BF"/>
      <w:sz w:val="32"/>
      <w:szCs w:val="32"/>
    </w:rPr>
  </w:style>
  <w:style w:type="paragraph" w:styleId="ListParagraph">
    <w:name w:val="List Paragraph"/>
    <w:basedOn w:val="Normal"/>
    <w:uiPriority w:val="34"/>
    <w:qFormat/>
    <w:rsid w:val="0012185B"/>
    <w:pPr>
      <w:spacing w:after="0" w:line="240" w:lineRule="auto"/>
      <w:ind w:left="720"/>
    </w:pPr>
  </w:style>
  <w:style w:type="character" w:styleId="Hyperlink">
    <w:name w:val="Hyperlink"/>
    <w:basedOn w:val="DefaultParagraphFont"/>
    <w:uiPriority w:val="99"/>
    <w:unhideWhenUsed/>
    <w:rsid w:val="0012185B"/>
    <w:rPr>
      <w:color w:val="0000FF"/>
      <w:u w:val="single"/>
    </w:rPr>
  </w:style>
  <w:style w:type="paragraph" w:styleId="EndnoteText">
    <w:name w:val="endnote text"/>
    <w:basedOn w:val="Normal"/>
    <w:link w:val="EndnoteTextChar"/>
    <w:uiPriority w:val="99"/>
    <w:semiHidden/>
    <w:unhideWhenUsed/>
    <w:rsid w:val="001218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185B"/>
    <w:rPr>
      <w:sz w:val="20"/>
      <w:szCs w:val="20"/>
    </w:rPr>
  </w:style>
  <w:style w:type="character" w:styleId="EndnoteReference">
    <w:name w:val="endnote reference"/>
    <w:basedOn w:val="DefaultParagraphFont"/>
    <w:uiPriority w:val="99"/>
    <w:semiHidden/>
    <w:unhideWhenUsed/>
    <w:rsid w:val="001218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jointherevolution.org/50-game-changers/rodney-hankins-and-sam-perkin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jointherevolution.org/50-game-changers/la-casa-de-carlo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intherevolution.org/50-game-changers/pizzability" TargetMode="External"/><Relationship Id="rId5" Type="http://schemas.openxmlformats.org/officeDocument/2006/relationships/footnotes" Target="footnotes.xml"/><Relationship Id="rId15" Type="http://schemas.openxmlformats.org/officeDocument/2006/relationships/hyperlink" Target="https://www.jointherevolution.org/50-game-changers/jonny-pierce" TargetMode="External"/><Relationship Id="rId10" Type="http://schemas.openxmlformats.org/officeDocument/2006/relationships/hyperlink" Target="https://www.jointherevolution.org/50-game-changers/ricardo-thornton" TargetMode="External"/><Relationship Id="rId4" Type="http://schemas.openxmlformats.org/officeDocument/2006/relationships/webSettings" Target="webSettings.xml"/><Relationship Id="rId9" Type="http://schemas.openxmlformats.org/officeDocument/2006/relationships/hyperlink" Target="https://www.jointherevolution.org/50-game-changers/rajah" TargetMode="External"/><Relationship Id="rId14" Type="http://schemas.openxmlformats.org/officeDocument/2006/relationships/hyperlink" Target="https://www.jointherevolution.org/50-game-changers/kester-edward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doi.org/10.1183/13993003.00547-2020" TargetMode="External"/><Relationship Id="rId13" Type="http://schemas.openxmlformats.org/officeDocument/2006/relationships/hyperlink" Target="https://www.who.int/news-room/fact-sheets/detail/obesity-and-overweight" TargetMode="External"/><Relationship Id="rId18" Type="http://schemas.openxmlformats.org/officeDocument/2006/relationships/hyperlink" Target="https://www.nytimes.com/interactive/2020/us/coronavirus-us-cases.html" TargetMode="External"/><Relationship Id="rId26" Type="http://schemas.openxmlformats.org/officeDocument/2006/relationships/hyperlink" Target="http://thearc.org/wp-content/uploads/2020/04/Guidance-to-States-Hospitals_FINAL.pdf" TargetMode="External"/><Relationship Id="rId3" Type="http://schemas.openxmlformats.org/officeDocument/2006/relationships/hyperlink" Target="https://www.kff.org/medicaid/issue-brief/key-questions-about-medicaid-home-and-community-based-services-waiver-waiting-lists/" TargetMode="External"/><Relationship Id="rId21" Type="http://schemas.openxmlformats.org/officeDocument/2006/relationships/hyperlink" Target="https://www.giaging.org/issues/older-caregivers-of-people-with-intellectual-developmental-disabilities/" TargetMode="External"/><Relationship Id="rId7" Type="http://schemas.openxmlformats.org/officeDocument/2006/relationships/hyperlink" Target="https://doi.org/10.1016/S0140-6736(20)30566-3" TargetMode="External"/><Relationship Id="rId12" Type="http://schemas.openxmlformats.org/officeDocument/2006/relationships/hyperlink" Target="https://news.harvard.edu/gazette/story/2012/03/the-big-setup/" TargetMode="External"/><Relationship Id="rId17" Type="http://schemas.openxmlformats.org/officeDocument/2006/relationships/hyperlink" Target="https://ncd.gov/publications/2012/Sept192012/Institutions" TargetMode="External"/><Relationship Id="rId25" Type="http://schemas.openxmlformats.org/officeDocument/2006/relationships/hyperlink" Target="https://doi.org/10.5195/lawreview.2011.171" TargetMode="External"/><Relationship Id="rId2" Type="http://schemas.openxmlformats.org/officeDocument/2006/relationships/hyperlink" Target="https://resources.specialolympics.org/research/health-research-and-evaluation" TargetMode="External"/><Relationship Id="rId16" Type="http://schemas.openxmlformats.org/officeDocument/2006/relationships/hyperlink" Target="https://ncd.gov/publications/2012/DIToolkit/Institutions/inBrief/" TargetMode="External"/><Relationship Id="rId20" Type="http://schemas.openxmlformats.org/officeDocument/2006/relationships/hyperlink" Target="https://www.nytimes.com/2020/04/17/us/coronavirus-nursing-homes.html" TargetMode="External"/><Relationship Id="rId1" Type="http://schemas.openxmlformats.org/officeDocument/2006/relationships/hyperlink" Target="https://doi.org/10.2105/AJPH.2019.305056" TargetMode="External"/><Relationship Id="rId6" Type="http://schemas.openxmlformats.org/officeDocument/2006/relationships/hyperlink" Target="https://doi.org/10.1136/bmjopen-2015-010505" TargetMode="External"/><Relationship Id="rId11" Type="http://schemas.openxmlformats.org/officeDocument/2006/relationships/hyperlink" Target="https://doi.org/10.1161/CIRCRESAHA.115.306825" TargetMode="External"/><Relationship Id="rId24" Type="http://schemas.openxmlformats.org/officeDocument/2006/relationships/hyperlink" Target="https://doi.org/10.1056/NEJMsb2005114" TargetMode="External"/><Relationship Id="rId5" Type="http://schemas.openxmlformats.org/officeDocument/2006/relationships/hyperlink" Target="https://doi.org/10.1111/j.1365-2249.2011.04335.x" TargetMode="External"/><Relationship Id="rId15" Type="http://schemas.openxmlformats.org/officeDocument/2006/relationships/hyperlink" Target="http://dx.doi.org/10.5888/pcd11.140162" TargetMode="External"/><Relationship Id="rId23" Type="http://schemas.openxmlformats.org/officeDocument/2006/relationships/hyperlink" Target="https://ncd.gov/sites/default/files/NCD_Medical_Futility_Report_508.pdf" TargetMode="External"/><Relationship Id="rId10" Type="http://schemas.openxmlformats.org/officeDocument/2006/relationships/hyperlink" Target="https://doi.org/10.3390/healthcare5030040" TargetMode="External"/><Relationship Id="rId19" Type="http://schemas.openxmlformats.org/officeDocument/2006/relationships/hyperlink" Target="https://www.nytimes.com/2020/04/08/nyregion/coronavirus-disabilities-group-homes.html?referringSource=articleShare" TargetMode="External"/><Relationship Id="rId4" Type="http://schemas.openxmlformats.org/officeDocument/2006/relationships/hyperlink" Target="https://www.kff.org/report-section/key-questions-about-medicaid-home-and-community-based-services-waiver-waiting-lists-appendix-tables/" TargetMode="External"/><Relationship Id="rId9" Type="http://schemas.openxmlformats.org/officeDocument/2006/relationships/hyperlink" Target="https://doi.org/10.1183/20734735.014716" TargetMode="External"/><Relationship Id="rId14" Type="http://schemas.openxmlformats.org/officeDocument/2006/relationships/hyperlink" Target="https://www.cdc.gov/obesity/data/adult.html" TargetMode="External"/><Relationship Id="rId22" Type="http://schemas.openxmlformats.org/officeDocument/2006/relationships/hyperlink" Target="https://www.apa.org/topics/covid-19/domestic-violence-child-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Anjela Jenkins</dc:creator>
  <cp:keywords/>
  <dc:description/>
  <cp:lastModifiedBy>Anjela Jenkins</cp:lastModifiedBy>
  <cp:revision>2</cp:revision>
  <dcterms:created xsi:type="dcterms:W3CDTF">2020-08-20T12:05:00Z</dcterms:created>
  <dcterms:modified xsi:type="dcterms:W3CDTF">2020-08-20T12:05:00Z</dcterms:modified>
</cp:coreProperties>
</file>