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5EC2C" w14:textId="77777777" w:rsidR="00ED37BB" w:rsidRDefault="007D2FCE" w:rsidP="00ED37BB">
      <w:pPr>
        <w:pStyle w:val="Heading1"/>
        <w:spacing w:after="240"/>
        <w:jc w:val="center"/>
        <w:rPr>
          <w:sz w:val="28"/>
        </w:rPr>
      </w:pPr>
      <w:bookmarkStart w:id="0" w:name="_Toc45275445"/>
      <w:r w:rsidRPr="00C53C3D">
        <w:rPr>
          <w:noProof/>
        </w:rPr>
        <w:drawing>
          <wp:anchor distT="0" distB="0" distL="114300" distR="114300" simplePos="0" relativeHeight="251662336" behindDoc="1" locked="0" layoutInCell="1" allowOverlap="1" wp14:anchorId="502E19AE" wp14:editId="139BF6D0">
            <wp:simplePos x="0" y="0"/>
            <wp:positionH relativeFrom="column">
              <wp:posOffset>-355600</wp:posOffset>
            </wp:positionH>
            <wp:positionV relativeFrom="paragraph">
              <wp:posOffset>-482600</wp:posOffset>
            </wp:positionV>
            <wp:extent cx="1653540" cy="7105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4AF" w:rsidRPr="00B94A51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615851CB" wp14:editId="1446B67C">
            <wp:simplePos x="0" y="0"/>
            <wp:positionH relativeFrom="page">
              <wp:align>left</wp:align>
            </wp:positionH>
            <wp:positionV relativeFrom="paragraph">
              <wp:posOffset>-910590</wp:posOffset>
            </wp:positionV>
            <wp:extent cx="7942580" cy="297180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58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A51" w:rsidRPr="00B94A5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36F70" wp14:editId="056704F7">
                <wp:simplePos x="0" y="0"/>
                <wp:positionH relativeFrom="column">
                  <wp:posOffset>2298700</wp:posOffset>
                </wp:positionH>
                <wp:positionV relativeFrom="paragraph">
                  <wp:posOffset>-457200</wp:posOffset>
                </wp:positionV>
                <wp:extent cx="4597400" cy="9271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40A26" w14:textId="77777777" w:rsidR="00B94A51" w:rsidRPr="00B94A51" w:rsidRDefault="00B94A51" w:rsidP="00B94A51">
                            <w:pPr>
                              <w:pStyle w:val="Heading1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bookmarkStart w:id="1" w:name="_Toc47618298"/>
                            <w:r w:rsidRPr="00B94A5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Additional Advocacy Opportunities and Strategies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D36F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1pt;margin-top:-36pt;width:362pt;height:7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" filled="f" stroked="f" strokeweight=".5pt">
                <v:textbox>
                  <w:txbxContent>
                    <w:p w14:paraId="69640A26" w14:textId="77777777" w:rsidR="00B94A51" w:rsidRPr="00B94A51" w:rsidRDefault="00B94A51" w:rsidP="00B94A51">
                      <w:pPr>
                        <w:pStyle w:val="Heading1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bookmarkStart w:id="2" w:name="_Toc47618298"/>
                      <w:r w:rsidRPr="00B94A51">
                        <w:rPr>
                          <w:b/>
                          <w:color w:val="FFFFFF" w:themeColor="background1"/>
                          <w:sz w:val="28"/>
                        </w:rPr>
                        <w:t>Additional Advocacy Opportunities and Strategies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bookmarkEnd w:id="0"/>
    </w:p>
    <w:p w14:paraId="50222DAC" w14:textId="77777777" w:rsidR="00B94A51" w:rsidRDefault="00B94A51" w:rsidP="00B94A51"/>
    <w:p w14:paraId="4A3F0995" w14:textId="77777777" w:rsidR="00B94A51" w:rsidRPr="00B94A51" w:rsidRDefault="00B94A51" w:rsidP="00B94A51"/>
    <w:p w14:paraId="3CF55851" w14:textId="0F7E8897" w:rsidR="00ED37BB" w:rsidRPr="00164C1B" w:rsidRDefault="00ED37BB" w:rsidP="00932AF8">
      <w:pPr>
        <w:spacing w:after="120"/>
        <w:rPr>
          <w:rFonts w:ascii="Ubuntu" w:hAnsi="Ubuntu"/>
          <w:b/>
          <w:color w:val="FF0000"/>
        </w:rPr>
      </w:pPr>
      <w:r w:rsidRPr="00164C1B">
        <w:rPr>
          <w:rFonts w:ascii="Ubuntu" w:hAnsi="Ubuntu"/>
          <w:b/>
          <w:color w:val="FF0000"/>
        </w:rPr>
        <w:t xml:space="preserve">Note: </w:t>
      </w:r>
      <w:r w:rsidR="00856C10">
        <w:rPr>
          <w:rFonts w:ascii="Ubuntu" w:hAnsi="Ubuntu"/>
          <w:b/>
          <w:color w:val="FF0000"/>
        </w:rPr>
        <w:t>Your country may have laws</w:t>
      </w:r>
      <w:r w:rsidR="00932AF8">
        <w:rPr>
          <w:rFonts w:ascii="Ubuntu" w:hAnsi="Ubuntu"/>
          <w:b/>
          <w:color w:val="FF0000"/>
        </w:rPr>
        <w:t>, policies, and practices</w:t>
      </w:r>
      <w:r w:rsidR="00856C10">
        <w:rPr>
          <w:rFonts w:ascii="Ubuntu" w:hAnsi="Ubuntu"/>
          <w:b/>
          <w:color w:val="FF0000"/>
        </w:rPr>
        <w:t xml:space="preserve"> that govern if</w:t>
      </w:r>
      <w:r w:rsidR="00932AF8">
        <w:rPr>
          <w:rFonts w:ascii="Ubuntu" w:hAnsi="Ubuntu"/>
          <w:b/>
          <w:color w:val="FF0000"/>
        </w:rPr>
        <w:t xml:space="preserve"> </w:t>
      </w:r>
      <w:r w:rsidRPr="00164C1B">
        <w:rPr>
          <w:rFonts w:ascii="Ubuntu" w:hAnsi="Ubuntu"/>
          <w:b/>
          <w:color w:val="FF0000"/>
        </w:rPr>
        <w:t xml:space="preserve">lobbying </w:t>
      </w:r>
      <w:r w:rsidR="00932AF8">
        <w:rPr>
          <w:rFonts w:ascii="Ubuntu" w:hAnsi="Ubuntu"/>
          <w:b/>
          <w:color w:val="FF0000"/>
        </w:rPr>
        <w:t>or other types of advocacy are permitted</w:t>
      </w:r>
      <w:r w:rsidR="00856C10">
        <w:rPr>
          <w:rFonts w:ascii="Ubuntu" w:hAnsi="Ubuntu"/>
          <w:b/>
          <w:color w:val="FF0000"/>
        </w:rPr>
        <w:t xml:space="preserve">, </w:t>
      </w:r>
      <w:r w:rsidR="00932AF8">
        <w:rPr>
          <w:rFonts w:ascii="Ubuntu" w:hAnsi="Ubuntu"/>
          <w:b/>
          <w:color w:val="FF0000"/>
        </w:rPr>
        <w:t xml:space="preserve">what forms these can take, </w:t>
      </w:r>
      <w:r w:rsidR="00856C10">
        <w:rPr>
          <w:rFonts w:ascii="Ubuntu" w:hAnsi="Ubuntu"/>
          <w:b/>
          <w:color w:val="FF0000"/>
        </w:rPr>
        <w:t>how much time</w:t>
      </w:r>
      <w:r w:rsidR="00932AF8">
        <w:rPr>
          <w:rFonts w:ascii="Ubuntu" w:hAnsi="Ubuntu"/>
          <w:b/>
          <w:color w:val="FF0000"/>
        </w:rPr>
        <w:t xml:space="preserve"> </w:t>
      </w:r>
      <w:r w:rsidR="00856C10">
        <w:rPr>
          <w:rFonts w:ascii="Ubuntu" w:hAnsi="Ubuntu"/>
          <w:b/>
          <w:color w:val="FF0000"/>
        </w:rPr>
        <w:t xml:space="preserve">a non-profit organization can spend on such activities, and if/how these activities must be reported </w:t>
      </w:r>
      <w:r w:rsidRPr="00164C1B">
        <w:rPr>
          <w:rFonts w:ascii="Ubuntu" w:hAnsi="Ubuntu"/>
          <w:b/>
          <w:color w:val="FF0000"/>
        </w:rPr>
        <w:t xml:space="preserve">to authorities. Each Special Olympics Program is responsible for ascertaining their own </w:t>
      </w:r>
      <w:r w:rsidR="00932AF8">
        <w:rPr>
          <w:rFonts w:ascii="Ubuntu" w:hAnsi="Ubuntu"/>
          <w:b/>
          <w:color w:val="FF0000"/>
        </w:rPr>
        <w:t xml:space="preserve">rights and </w:t>
      </w:r>
      <w:r w:rsidRPr="00164C1B">
        <w:rPr>
          <w:rFonts w:ascii="Ubuntu" w:hAnsi="Ubuntu"/>
          <w:b/>
          <w:color w:val="FF0000"/>
        </w:rPr>
        <w:t xml:space="preserve">obligations under </w:t>
      </w:r>
      <w:r w:rsidR="00856C10">
        <w:rPr>
          <w:rFonts w:ascii="Ubuntu" w:hAnsi="Ubuntu"/>
          <w:b/>
          <w:color w:val="FF0000"/>
        </w:rPr>
        <w:t>their jurisdiction’s</w:t>
      </w:r>
      <w:r w:rsidRPr="00164C1B">
        <w:rPr>
          <w:rFonts w:ascii="Ubuntu" w:hAnsi="Ubuntu"/>
          <w:b/>
          <w:color w:val="FF0000"/>
        </w:rPr>
        <w:t xml:space="preserve"> law and must follow </w:t>
      </w:r>
      <w:r w:rsidR="00856C10">
        <w:rPr>
          <w:rFonts w:ascii="Ubuntu" w:hAnsi="Ubuntu"/>
          <w:b/>
          <w:color w:val="FF0000"/>
        </w:rPr>
        <w:t>local</w:t>
      </w:r>
      <w:r w:rsidRPr="00164C1B">
        <w:rPr>
          <w:rFonts w:ascii="Ubuntu" w:hAnsi="Ubuntu"/>
          <w:b/>
          <w:color w:val="FF0000"/>
        </w:rPr>
        <w:t xml:space="preserve"> lobbying laws</w:t>
      </w:r>
      <w:r w:rsidR="00932AF8">
        <w:rPr>
          <w:rFonts w:ascii="Ubuntu" w:hAnsi="Ubuntu"/>
          <w:b/>
          <w:color w:val="FF0000"/>
        </w:rPr>
        <w:t>, policies, and practices</w:t>
      </w:r>
      <w:r w:rsidRPr="00164C1B">
        <w:rPr>
          <w:rFonts w:ascii="Ubuntu" w:hAnsi="Ubuntu"/>
          <w:b/>
          <w:color w:val="FF0000"/>
        </w:rPr>
        <w:t xml:space="preserve"> when advocating. </w:t>
      </w:r>
    </w:p>
    <w:p w14:paraId="2B49EE5F" w14:textId="77777777" w:rsidR="00ED37BB" w:rsidRPr="00164C1B" w:rsidRDefault="00ED37BB" w:rsidP="00ED37BB">
      <w:pPr>
        <w:rPr>
          <w:rFonts w:ascii="Ubuntu" w:hAnsi="Ubuntu"/>
        </w:rPr>
      </w:pPr>
      <w:r w:rsidRPr="00164C1B">
        <w:rPr>
          <w:rFonts w:ascii="Ubuntu" w:hAnsi="Ubuntu"/>
        </w:rPr>
        <w:t xml:space="preserve">Many people with </w:t>
      </w:r>
      <w:r>
        <w:rPr>
          <w:rFonts w:ascii="Ubuntu" w:hAnsi="Ubuntu"/>
        </w:rPr>
        <w:t>intellectual disabilities (</w:t>
      </w:r>
      <w:r w:rsidRPr="00164C1B">
        <w:rPr>
          <w:rFonts w:ascii="Ubuntu" w:hAnsi="Ubuntu"/>
        </w:rPr>
        <w:t>ID</w:t>
      </w:r>
      <w:r>
        <w:rPr>
          <w:rFonts w:ascii="Ubuntu" w:hAnsi="Ubuntu"/>
        </w:rPr>
        <w:t>)</w:t>
      </w:r>
      <w:r w:rsidRPr="00164C1B">
        <w:rPr>
          <w:rFonts w:ascii="Ubuntu" w:hAnsi="Ubuntu"/>
        </w:rPr>
        <w:t xml:space="preserve"> live in a long-term c</w:t>
      </w:r>
      <w:r w:rsidR="00856C10">
        <w:rPr>
          <w:rFonts w:ascii="Ubuntu" w:hAnsi="Ubuntu"/>
        </w:rPr>
        <w:t>ongregate care setting, such as</w:t>
      </w:r>
      <w:r w:rsidRPr="00164C1B">
        <w:rPr>
          <w:rFonts w:ascii="Ubuntu" w:hAnsi="Ubuntu"/>
        </w:rPr>
        <w:t xml:space="preserve"> group home</w:t>
      </w:r>
      <w:r w:rsidR="00856C10">
        <w:rPr>
          <w:rFonts w:ascii="Ubuntu" w:hAnsi="Ubuntu"/>
        </w:rPr>
        <w:t>s</w:t>
      </w:r>
      <w:r w:rsidRPr="00164C1B">
        <w:rPr>
          <w:rFonts w:ascii="Ubuntu" w:hAnsi="Ubuntu"/>
        </w:rPr>
        <w:t>.</w:t>
      </w:r>
      <w:r w:rsidR="00856C10">
        <w:rPr>
          <w:rFonts w:ascii="Ubuntu" w:hAnsi="Ubuntu"/>
        </w:rPr>
        <w:t xml:space="preserve"> Most countries in the world have signed or ratified the United Nations Convention on the Rights of Persons with Disabilities and most countries also have a non-discrimination law which often, but does not always, forbid discrimination on the basis of disability.</w:t>
      </w:r>
    </w:p>
    <w:p w14:paraId="4E4A8F46" w14:textId="77777777" w:rsidR="00ED37BB" w:rsidRPr="00164C1B" w:rsidRDefault="00ED37BB" w:rsidP="00ED37BB">
      <w:pPr>
        <w:pStyle w:val="Heading2"/>
        <w:rPr>
          <w:rFonts w:ascii="Ubuntu" w:hAnsi="Ubuntu"/>
          <w:shd w:val="clear" w:color="auto" w:fill="FFFFFF"/>
        </w:rPr>
      </w:pPr>
      <w:bookmarkStart w:id="3" w:name="_Toc45275446"/>
      <w:r w:rsidRPr="00164C1B">
        <w:rPr>
          <w:rFonts w:ascii="Ubuntu" w:hAnsi="Ubuntu"/>
          <w:shd w:val="clear" w:color="auto" w:fill="FFFFFF"/>
        </w:rPr>
        <w:t>Opportunities</w:t>
      </w:r>
      <w:bookmarkEnd w:id="3"/>
      <w:r w:rsidRPr="00164C1B">
        <w:rPr>
          <w:rFonts w:ascii="Ubuntu" w:hAnsi="Ubuntu"/>
          <w:shd w:val="clear" w:color="auto" w:fill="FFFFFF"/>
        </w:rPr>
        <w:t xml:space="preserve"> </w:t>
      </w:r>
    </w:p>
    <w:p w14:paraId="1D674553" w14:textId="77777777" w:rsidR="00ED37BB" w:rsidRPr="00164C1B" w:rsidRDefault="00ED37BB" w:rsidP="00ED37BB">
      <w:pPr>
        <w:rPr>
          <w:rFonts w:ascii="Ubuntu" w:hAnsi="Ubuntu" w:cstheme="minorHAnsi"/>
          <w:color w:val="000000"/>
          <w:shd w:val="clear" w:color="auto" w:fill="FFFFFF"/>
        </w:rPr>
      </w:pPr>
      <w:r w:rsidRPr="00164C1B">
        <w:rPr>
          <w:rFonts w:ascii="Ubuntu" w:hAnsi="Ubuntu" w:cstheme="minorHAnsi"/>
          <w:color w:val="000000"/>
          <w:shd w:val="clear" w:color="auto" w:fill="FFFFFF"/>
        </w:rPr>
        <w:t>Against this backdrop, the following policy proposals would promote greater equity for people with intellectual disabilities:</w:t>
      </w:r>
    </w:p>
    <w:p w14:paraId="1DDB5347" w14:textId="77777777" w:rsidR="00ED37BB" w:rsidRPr="00164C1B" w:rsidRDefault="00856C10" w:rsidP="00ED37BB">
      <w:pPr>
        <w:pStyle w:val="ListParagraph"/>
        <w:numPr>
          <w:ilvl w:val="0"/>
          <w:numId w:val="3"/>
        </w:numPr>
        <w:spacing w:after="120"/>
        <w:rPr>
          <w:rFonts w:ascii="Ubuntu" w:hAnsi="Ubuntu" w:cstheme="minorHAnsi"/>
          <w:color w:val="000000"/>
          <w:shd w:val="clear" w:color="auto" w:fill="FFFFFF"/>
        </w:rPr>
      </w:pPr>
      <w:r>
        <w:rPr>
          <w:rFonts w:ascii="Ubuntu" w:hAnsi="Ubuntu" w:cstheme="minorHAnsi"/>
          <w:color w:val="000000"/>
          <w:shd w:val="clear" w:color="auto" w:fill="FFFFFF"/>
        </w:rPr>
        <w:t>The Ministry of Health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 xml:space="preserve">, </w:t>
      </w:r>
      <w:r>
        <w:rPr>
          <w:rFonts w:ascii="Ubuntu" w:hAnsi="Ubuntu" w:cstheme="minorHAnsi"/>
          <w:color w:val="000000"/>
          <w:shd w:val="clear" w:color="auto" w:fill="FFFFFF"/>
        </w:rPr>
        <w:t>local (e.g., municipal)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 xml:space="preserve"> health department, and/or regulatory authority for congregate care for people with ID should </w:t>
      </w:r>
      <w:r w:rsidR="00ED37BB">
        <w:rPr>
          <w:rFonts w:ascii="Ubuntu" w:hAnsi="Ubuntu" w:cstheme="minorHAnsi"/>
          <w:color w:val="000000"/>
          <w:shd w:val="clear" w:color="auto" w:fill="FFFFFF"/>
        </w:rPr>
        <w:t xml:space="preserve">immediately facilitate 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 xml:space="preserve">universal </w:t>
      </w:r>
      <w:r w:rsidR="00ED37BB">
        <w:rPr>
          <w:rFonts w:ascii="Ubuntu" w:hAnsi="Ubuntu" w:cstheme="minorHAnsi"/>
          <w:color w:val="000000"/>
          <w:shd w:val="clear" w:color="auto" w:fill="FFFFFF"/>
        </w:rPr>
        <w:t>COVID-19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 xml:space="preserve"> testing for residents and staff of congregate care facilities</w:t>
      </w:r>
      <w:r>
        <w:rPr>
          <w:rFonts w:ascii="Ubuntu" w:hAnsi="Ubuntu" w:cstheme="minorHAnsi"/>
          <w:color w:val="000000"/>
          <w:shd w:val="clear" w:color="auto" w:fill="FFFFFF"/>
        </w:rPr>
        <w:t>, including institutions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 xml:space="preserve">. </w:t>
      </w:r>
    </w:p>
    <w:p w14:paraId="02168145" w14:textId="77777777" w:rsidR="00ED37BB" w:rsidRPr="00164C1B" w:rsidRDefault="00856C10" w:rsidP="00ED37BB">
      <w:pPr>
        <w:pStyle w:val="ListParagraph"/>
        <w:numPr>
          <w:ilvl w:val="0"/>
          <w:numId w:val="3"/>
        </w:numPr>
        <w:spacing w:after="120"/>
        <w:rPr>
          <w:rFonts w:ascii="Ubuntu" w:hAnsi="Ubuntu" w:cstheme="minorHAnsi"/>
          <w:color w:val="000000"/>
          <w:shd w:val="clear" w:color="auto" w:fill="FFFFFF"/>
        </w:rPr>
      </w:pPr>
      <w:r>
        <w:rPr>
          <w:rFonts w:ascii="Ubuntu" w:hAnsi="Ubuntu" w:cstheme="minorHAnsi"/>
          <w:color w:val="000000"/>
          <w:shd w:val="clear" w:color="auto" w:fill="FFFFFF"/>
        </w:rPr>
        <w:t>The Ministry of Health</w:t>
      </w:r>
      <w:r w:rsidRPr="00164C1B">
        <w:rPr>
          <w:rFonts w:ascii="Ubuntu" w:hAnsi="Ubuntu" w:cstheme="minorHAnsi"/>
          <w:color w:val="000000"/>
          <w:shd w:val="clear" w:color="auto" w:fill="FFFFFF"/>
        </w:rPr>
        <w:t xml:space="preserve">, </w:t>
      </w:r>
      <w:r>
        <w:rPr>
          <w:rFonts w:ascii="Ubuntu" w:hAnsi="Ubuntu" w:cstheme="minorHAnsi"/>
          <w:color w:val="000000"/>
          <w:shd w:val="clear" w:color="auto" w:fill="FFFFFF"/>
        </w:rPr>
        <w:t>local (e.g., municipal)</w:t>
      </w:r>
      <w:r w:rsidRPr="00164C1B">
        <w:rPr>
          <w:rFonts w:ascii="Ubuntu" w:hAnsi="Ubuntu" w:cstheme="minorHAnsi"/>
          <w:color w:val="000000"/>
          <w:shd w:val="clear" w:color="auto" w:fill="FFFFFF"/>
        </w:rPr>
        <w:t xml:space="preserve"> health department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>, and/or other authorities should designate people with ID as a priority population for COVID-19 testing in order to facilitate access to testing by people with ID living in the community who may be at greater risk of coronavirus infection; associated complications from infection, due to comorbidities present in this population; and contributing to community spread through contact with care</w:t>
      </w:r>
      <w:r w:rsidR="00ED37BB">
        <w:rPr>
          <w:rFonts w:ascii="Ubuntu" w:hAnsi="Ubuntu" w:cstheme="minorHAnsi"/>
          <w:color w:val="000000"/>
          <w:shd w:val="clear" w:color="auto" w:fill="FFFFFF"/>
        </w:rPr>
        <w:t>giver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>s.</w:t>
      </w:r>
    </w:p>
    <w:p w14:paraId="3469E991" w14:textId="77777777" w:rsidR="00ED37BB" w:rsidRPr="00164C1B" w:rsidRDefault="00856C10" w:rsidP="00ED37BB">
      <w:pPr>
        <w:pStyle w:val="ListParagraph"/>
        <w:numPr>
          <w:ilvl w:val="0"/>
          <w:numId w:val="3"/>
        </w:numPr>
        <w:spacing w:after="120"/>
        <w:rPr>
          <w:rFonts w:ascii="Ubuntu" w:hAnsi="Ubuntu" w:cstheme="minorHAnsi"/>
          <w:color w:val="000000"/>
          <w:shd w:val="clear" w:color="auto" w:fill="FFFFFF"/>
        </w:rPr>
      </w:pPr>
      <w:r>
        <w:rPr>
          <w:rFonts w:ascii="Ubuntu" w:hAnsi="Ubuntu" w:cstheme="minorHAnsi"/>
          <w:color w:val="000000"/>
          <w:shd w:val="clear" w:color="auto" w:fill="FFFFFF"/>
        </w:rPr>
        <w:t>The Ministry of Health</w:t>
      </w:r>
      <w:r w:rsidRPr="00164C1B">
        <w:rPr>
          <w:rFonts w:ascii="Ubuntu" w:hAnsi="Ubuntu" w:cstheme="minorHAnsi"/>
          <w:color w:val="000000"/>
          <w:shd w:val="clear" w:color="auto" w:fill="FFFFFF"/>
        </w:rPr>
        <w:t xml:space="preserve">, </w:t>
      </w:r>
      <w:r>
        <w:rPr>
          <w:rFonts w:ascii="Ubuntu" w:hAnsi="Ubuntu" w:cstheme="minorHAnsi"/>
          <w:color w:val="000000"/>
          <w:shd w:val="clear" w:color="auto" w:fill="FFFFFF"/>
        </w:rPr>
        <w:t>local (e.g., municipal)</w:t>
      </w:r>
      <w:r w:rsidRPr="00164C1B">
        <w:rPr>
          <w:rFonts w:ascii="Ubuntu" w:hAnsi="Ubuntu" w:cstheme="minorHAnsi"/>
          <w:color w:val="000000"/>
          <w:shd w:val="clear" w:color="auto" w:fill="FFFFFF"/>
        </w:rPr>
        <w:t xml:space="preserve"> health department, and/or regulatory authority 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>for congregate care for people with ID</w:t>
      </w:r>
      <w:r>
        <w:rPr>
          <w:rFonts w:ascii="Ubuntu" w:hAnsi="Ubuntu" w:cstheme="minorHAnsi"/>
          <w:color w:val="000000"/>
          <w:shd w:val="clear" w:color="auto" w:fill="FFFFFF"/>
        </w:rPr>
        <w:t>, including institutions,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 xml:space="preserve"> should require staff at congregate care facilities to receive training on </w:t>
      </w:r>
      <w:r w:rsidR="00ED37BB" w:rsidRPr="00164C1B">
        <w:rPr>
          <w:rFonts w:ascii="Ubuntu" w:hAnsi="Ubuntu"/>
        </w:rPr>
        <w:t>particular vulnerability of people with ID to contracting COVID-19 and downstream effects, including associated complications at the individual level, spread at the home level, and contagion at community level driven by asymptomatic non-resident care staff.</w:t>
      </w:r>
    </w:p>
    <w:p w14:paraId="5E322DAD" w14:textId="77777777" w:rsidR="00ED37BB" w:rsidRPr="00164C1B" w:rsidRDefault="00856C10" w:rsidP="00ED37BB">
      <w:pPr>
        <w:pStyle w:val="ListParagraph"/>
        <w:numPr>
          <w:ilvl w:val="0"/>
          <w:numId w:val="3"/>
        </w:numPr>
        <w:spacing w:after="120"/>
        <w:rPr>
          <w:rFonts w:ascii="Ubuntu" w:hAnsi="Ubuntu" w:cstheme="minorHAnsi"/>
          <w:color w:val="000000"/>
          <w:shd w:val="clear" w:color="auto" w:fill="FFFFFF"/>
        </w:rPr>
      </w:pPr>
      <w:r>
        <w:rPr>
          <w:rFonts w:ascii="Ubuntu" w:hAnsi="Ubuntu" w:cstheme="minorHAnsi"/>
          <w:color w:val="000000"/>
          <w:shd w:val="clear" w:color="auto" w:fill="FFFFFF"/>
        </w:rPr>
        <w:t>The Ministry of Health</w:t>
      </w:r>
      <w:r w:rsidRPr="00164C1B">
        <w:rPr>
          <w:rFonts w:ascii="Ubuntu" w:hAnsi="Ubuntu" w:cstheme="minorHAnsi"/>
          <w:color w:val="000000"/>
          <w:shd w:val="clear" w:color="auto" w:fill="FFFFFF"/>
        </w:rPr>
        <w:t xml:space="preserve">, </w:t>
      </w:r>
      <w:r>
        <w:rPr>
          <w:rFonts w:ascii="Ubuntu" w:hAnsi="Ubuntu" w:cstheme="minorHAnsi"/>
          <w:color w:val="000000"/>
          <w:shd w:val="clear" w:color="auto" w:fill="FFFFFF"/>
        </w:rPr>
        <w:t>local (e.g., municipal)</w:t>
      </w:r>
      <w:r w:rsidRPr="00164C1B">
        <w:rPr>
          <w:rFonts w:ascii="Ubuntu" w:hAnsi="Ubuntu" w:cstheme="minorHAnsi"/>
          <w:color w:val="000000"/>
          <w:shd w:val="clear" w:color="auto" w:fill="FFFFFF"/>
        </w:rPr>
        <w:t xml:space="preserve"> health department, and/or regulatory authority 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>for congregate care for people with ID</w:t>
      </w:r>
      <w:r>
        <w:rPr>
          <w:rFonts w:ascii="Ubuntu" w:hAnsi="Ubuntu" w:cstheme="minorHAnsi"/>
          <w:color w:val="000000"/>
          <w:shd w:val="clear" w:color="auto" w:fill="FFFFFF"/>
        </w:rPr>
        <w:t>, including institutions,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 xml:space="preserve"> should designate staff at congregate care facilities as priorities for the use of personal protective equipment (PPE)</w:t>
      </w:r>
      <w:r w:rsidR="00ED37BB" w:rsidRPr="00164C1B">
        <w:rPr>
          <w:rFonts w:ascii="Ubuntu" w:hAnsi="Ubuntu"/>
        </w:rPr>
        <w:t>.</w:t>
      </w:r>
    </w:p>
    <w:p w14:paraId="460F3A10" w14:textId="77777777" w:rsidR="00ED37BB" w:rsidRPr="00164C1B" w:rsidRDefault="00856C10" w:rsidP="00ED37BB">
      <w:pPr>
        <w:pStyle w:val="ListParagraph"/>
        <w:numPr>
          <w:ilvl w:val="0"/>
          <w:numId w:val="3"/>
        </w:numPr>
        <w:spacing w:after="120"/>
        <w:rPr>
          <w:rFonts w:ascii="Ubuntu" w:hAnsi="Ubuntu" w:cstheme="minorHAnsi"/>
          <w:color w:val="000000"/>
          <w:shd w:val="clear" w:color="auto" w:fill="FFFFFF"/>
        </w:rPr>
      </w:pPr>
      <w:r>
        <w:rPr>
          <w:rFonts w:ascii="Ubuntu" w:hAnsi="Ubuntu" w:cstheme="minorHAnsi"/>
          <w:color w:val="000000"/>
          <w:shd w:val="clear" w:color="auto" w:fill="FFFFFF"/>
        </w:rPr>
        <w:t>The Ministry of Health</w:t>
      </w:r>
      <w:r w:rsidRPr="00164C1B">
        <w:rPr>
          <w:rFonts w:ascii="Ubuntu" w:hAnsi="Ubuntu" w:cstheme="minorHAnsi"/>
          <w:color w:val="000000"/>
          <w:shd w:val="clear" w:color="auto" w:fill="FFFFFF"/>
        </w:rPr>
        <w:t xml:space="preserve">, </w:t>
      </w:r>
      <w:r>
        <w:rPr>
          <w:rFonts w:ascii="Ubuntu" w:hAnsi="Ubuntu" w:cstheme="minorHAnsi"/>
          <w:color w:val="000000"/>
          <w:shd w:val="clear" w:color="auto" w:fill="FFFFFF"/>
        </w:rPr>
        <w:t>local (e.g., municipal)</w:t>
      </w:r>
      <w:r w:rsidRPr="00164C1B">
        <w:rPr>
          <w:rFonts w:ascii="Ubuntu" w:hAnsi="Ubuntu" w:cstheme="minorHAnsi"/>
          <w:color w:val="000000"/>
          <w:shd w:val="clear" w:color="auto" w:fill="FFFFFF"/>
        </w:rPr>
        <w:t xml:space="preserve"> health department, and/or regulatory authority 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>for congregate care for people with ID</w:t>
      </w:r>
      <w:r>
        <w:rPr>
          <w:rFonts w:ascii="Ubuntu" w:hAnsi="Ubuntu" w:cstheme="minorHAnsi"/>
          <w:color w:val="000000"/>
          <w:shd w:val="clear" w:color="auto" w:fill="FFFFFF"/>
        </w:rPr>
        <w:t>, including institutions,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 xml:space="preserve"> should require the development of risk mitigation and response plans, including staff training on preventive measures, recognition of symptoms, and appropriate responses.</w:t>
      </w:r>
    </w:p>
    <w:p w14:paraId="51334716" w14:textId="77777777" w:rsidR="00ED37BB" w:rsidRPr="00856C10" w:rsidRDefault="00856C10" w:rsidP="00856C10">
      <w:pPr>
        <w:pStyle w:val="ListParagraph"/>
        <w:numPr>
          <w:ilvl w:val="0"/>
          <w:numId w:val="3"/>
        </w:numPr>
        <w:spacing w:after="120"/>
        <w:rPr>
          <w:rFonts w:ascii="Ubuntu" w:hAnsi="Ubuntu" w:cstheme="minorHAnsi"/>
          <w:color w:val="000000"/>
          <w:shd w:val="clear" w:color="auto" w:fill="FFFFFF"/>
        </w:rPr>
      </w:pPr>
      <w:r>
        <w:rPr>
          <w:rFonts w:ascii="Ubuntu" w:hAnsi="Ubuntu" w:cstheme="minorHAnsi"/>
          <w:color w:val="000000"/>
          <w:shd w:val="clear" w:color="auto" w:fill="FFFFFF"/>
        </w:rPr>
        <w:lastRenderedPageBreak/>
        <w:t>The Ministry of Health</w:t>
      </w:r>
      <w:r w:rsidRPr="00164C1B">
        <w:rPr>
          <w:rFonts w:ascii="Ubuntu" w:hAnsi="Ubuntu" w:cstheme="minorHAnsi"/>
          <w:color w:val="000000"/>
          <w:shd w:val="clear" w:color="auto" w:fill="FFFFFF"/>
        </w:rPr>
        <w:t xml:space="preserve">, </w:t>
      </w:r>
      <w:r>
        <w:rPr>
          <w:rFonts w:ascii="Ubuntu" w:hAnsi="Ubuntu" w:cstheme="minorHAnsi"/>
          <w:color w:val="000000"/>
          <w:shd w:val="clear" w:color="auto" w:fill="FFFFFF"/>
        </w:rPr>
        <w:t>Ministry of Justice, local (e.g., municipal)</w:t>
      </w:r>
      <w:r w:rsidRPr="00164C1B">
        <w:rPr>
          <w:rFonts w:ascii="Ubuntu" w:hAnsi="Ubuntu" w:cstheme="minorHAnsi"/>
          <w:color w:val="000000"/>
          <w:shd w:val="clear" w:color="auto" w:fill="FFFFFF"/>
        </w:rPr>
        <w:t xml:space="preserve"> health department</w:t>
      </w:r>
      <w:r>
        <w:rPr>
          <w:rFonts w:ascii="Ubuntu" w:hAnsi="Ubuntu" w:cstheme="minorHAnsi"/>
          <w:color w:val="000000"/>
          <w:shd w:val="clear" w:color="auto" w:fill="FFFFFF"/>
        </w:rPr>
        <w:t>, human rights authorities</w:t>
      </w:r>
      <w:r w:rsidR="00ED37BB" w:rsidRPr="00856C10">
        <w:rPr>
          <w:rFonts w:ascii="Ubuntu" w:hAnsi="Ubuntu" w:cstheme="minorHAnsi"/>
          <w:color w:val="000000"/>
          <w:shd w:val="clear" w:color="auto" w:fill="FFFFFF"/>
        </w:rPr>
        <w:t>, and/or other appropriate authorities should ensure that information on COVID-19 that is accessible to people with ID (plain language, use of graphics) and other disabilities (</w:t>
      </w:r>
      <w:r w:rsidR="00ED37BB" w:rsidRPr="00856C10">
        <w:rPr>
          <w:rFonts w:ascii="Ubuntu" w:hAnsi="Ubuntu" w:cs="Calibri"/>
        </w:rPr>
        <w:t>people who are deaf or blind) is developed and widely publicized and disseminated.</w:t>
      </w:r>
    </w:p>
    <w:p w14:paraId="373AF793" w14:textId="77777777" w:rsidR="00ED37BB" w:rsidRPr="00164C1B" w:rsidRDefault="00856C10" w:rsidP="00ED37BB">
      <w:pPr>
        <w:pStyle w:val="ListParagraph"/>
        <w:numPr>
          <w:ilvl w:val="0"/>
          <w:numId w:val="3"/>
        </w:numPr>
        <w:spacing w:after="120"/>
        <w:rPr>
          <w:rFonts w:ascii="Ubuntu" w:hAnsi="Ubuntu" w:cstheme="minorHAnsi"/>
          <w:color w:val="000000"/>
          <w:shd w:val="clear" w:color="auto" w:fill="FFFFFF"/>
        </w:rPr>
      </w:pPr>
      <w:r>
        <w:rPr>
          <w:rFonts w:ascii="Ubuntu" w:hAnsi="Ubuntu" w:cstheme="minorHAnsi"/>
          <w:color w:val="000000"/>
          <w:shd w:val="clear" w:color="auto" w:fill="FFFFFF"/>
        </w:rPr>
        <w:t>The Ministry of Health</w:t>
      </w:r>
      <w:r w:rsidRPr="00164C1B">
        <w:rPr>
          <w:rFonts w:ascii="Ubuntu" w:hAnsi="Ubuntu" w:cstheme="minorHAnsi"/>
          <w:color w:val="000000"/>
          <w:shd w:val="clear" w:color="auto" w:fill="FFFFFF"/>
        </w:rPr>
        <w:t xml:space="preserve">, </w:t>
      </w:r>
      <w:r>
        <w:rPr>
          <w:rFonts w:ascii="Ubuntu" w:hAnsi="Ubuntu" w:cstheme="minorHAnsi"/>
          <w:color w:val="000000"/>
          <w:shd w:val="clear" w:color="auto" w:fill="FFFFFF"/>
        </w:rPr>
        <w:t>Ministry of Justice, local (e.g., municipal)</w:t>
      </w:r>
      <w:r w:rsidRPr="00164C1B">
        <w:rPr>
          <w:rFonts w:ascii="Ubuntu" w:hAnsi="Ubuntu" w:cstheme="minorHAnsi"/>
          <w:color w:val="000000"/>
          <w:shd w:val="clear" w:color="auto" w:fill="FFFFFF"/>
        </w:rPr>
        <w:t xml:space="preserve"> health department</w:t>
      </w:r>
      <w:r>
        <w:rPr>
          <w:rFonts w:ascii="Ubuntu" w:hAnsi="Ubuntu" w:cstheme="minorHAnsi"/>
          <w:color w:val="000000"/>
          <w:shd w:val="clear" w:color="auto" w:fill="FFFFFF"/>
        </w:rPr>
        <w:t>, human rights authorities</w:t>
      </w:r>
      <w:r w:rsidRPr="00856C10">
        <w:rPr>
          <w:rFonts w:ascii="Ubuntu" w:hAnsi="Ubuntu" w:cstheme="minorHAnsi"/>
          <w:color w:val="000000"/>
          <w:shd w:val="clear" w:color="auto" w:fill="FFFFFF"/>
        </w:rPr>
        <w:t xml:space="preserve">, and/or other appropriate authorities 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 xml:space="preserve">should issue guidance that people with ID must be allowed </w:t>
      </w:r>
      <w:r w:rsidR="00ED37BB" w:rsidRPr="00164C1B">
        <w:rPr>
          <w:rFonts w:ascii="Ubuntu" w:hAnsi="Ubuntu"/>
        </w:rPr>
        <w:t xml:space="preserve">to have a support person of their choice with them during testing and COVID-19-related medical treatment as a reasonable </w:t>
      </w:r>
      <w:r>
        <w:rPr>
          <w:rFonts w:ascii="Ubuntu" w:hAnsi="Ubuntu"/>
        </w:rPr>
        <w:t>accommodation</w:t>
      </w:r>
      <w:r w:rsidR="00ED37BB" w:rsidRPr="00164C1B">
        <w:rPr>
          <w:rFonts w:ascii="Ubuntu" w:hAnsi="Ubuntu"/>
        </w:rPr>
        <w:t xml:space="preserve"> necessary to </w:t>
      </w:r>
      <w:r>
        <w:rPr>
          <w:rFonts w:ascii="Ubuntu" w:hAnsi="Ubuntu"/>
        </w:rPr>
        <w:t>ensure people with</w:t>
      </w:r>
      <w:r w:rsidR="00ED37BB" w:rsidRPr="00164C1B">
        <w:rPr>
          <w:rFonts w:ascii="Ubuntu" w:hAnsi="Ubuntu"/>
        </w:rPr>
        <w:t xml:space="preserve"> ID </w:t>
      </w:r>
      <w:r>
        <w:rPr>
          <w:rFonts w:ascii="Ubuntu" w:hAnsi="Ubuntu"/>
        </w:rPr>
        <w:t>can enjoy their rights as</w:t>
      </w:r>
      <w:r w:rsidR="009163B2">
        <w:rPr>
          <w:rFonts w:ascii="Ubuntu" w:hAnsi="Ubuntu"/>
        </w:rPr>
        <w:t xml:space="preserve"> </w:t>
      </w:r>
      <w:r w:rsidR="00ED37BB" w:rsidRPr="00164C1B">
        <w:rPr>
          <w:rFonts w:ascii="Ubuntu" w:hAnsi="Ubuntu"/>
        </w:rPr>
        <w:t xml:space="preserve">required by the </w:t>
      </w:r>
      <w:r>
        <w:rPr>
          <w:rFonts w:ascii="Ubuntu" w:hAnsi="Ubuntu"/>
        </w:rPr>
        <w:t>CRPD</w:t>
      </w:r>
      <w:r w:rsidR="009163B2">
        <w:rPr>
          <w:rFonts w:ascii="Ubuntu" w:hAnsi="Ubuntu"/>
        </w:rPr>
        <w:t>, where applicable</w:t>
      </w:r>
      <w:r w:rsidR="00ED37BB" w:rsidRPr="00164C1B">
        <w:rPr>
          <w:rFonts w:ascii="Ubuntu" w:hAnsi="Ubuntu"/>
        </w:rPr>
        <w:t>.</w:t>
      </w:r>
      <w:r w:rsidR="00ED37BB" w:rsidRPr="00164C1B">
        <w:rPr>
          <w:rStyle w:val="EndnoteReference"/>
          <w:rFonts w:ascii="Ubuntu" w:hAnsi="Ubuntu"/>
        </w:rPr>
        <w:endnoteReference w:id="1"/>
      </w:r>
    </w:p>
    <w:p w14:paraId="6C38A169" w14:textId="77777777" w:rsidR="00ED37BB" w:rsidRPr="00164C1B" w:rsidRDefault="00856C10" w:rsidP="00ED37BB">
      <w:pPr>
        <w:pStyle w:val="ListParagraph"/>
        <w:numPr>
          <w:ilvl w:val="0"/>
          <w:numId w:val="3"/>
        </w:numPr>
        <w:spacing w:after="120"/>
        <w:rPr>
          <w:rFonts w:ascii="Ubuntu" w:hAnsi="Ubuntu" w:cstheme="minorHAnsi"/>
          <w:color w:val="000000"/>
          <w:shd w:val="clear" w:color="auto" w:fill="FFFFFF"/>
        </w:rPr>
      </w:pPr>
      <w:bookmarkStart w:id="4" w:name="_GoBack"/>
      <w:bookmarkEnd w:id="4"/>
      <w:r>
        <w:rPr>
          <w:rFonts w:ascii="Ubuntu" w:hAnsi="Ubuntu"/>
        </w:rPr>
        <w:t>Government officials and others</w:t>
      </w:r>
      <w:r w:rsidR="00ED37BB" w:rsidRPr="00164C1B">
        <w:rPr>
          <w:rFonts w:ascii="Ubuntu" w:hAnsi="Ubuntu"/>
        </w:rPr>
        <w:t xml:space="preserve"> </w:t>
      </w:r>
      <w:r>
        <w:rPr>
          <w:rFonts w:ascii="Ubuntu" w:hAnsi="Ubuntu"/>
        </w:rPr>
        <w:t>involved in the development of c</w:t>
      </w:r>
      <w:r w:rsidR="00ED37BB" w:rsidRPr="00164C1B">
        <w:rPr>
          <w:rFonts w:ascii="Ubuntu" w:hAnsi="Ubuntu"/>
        </w:rPr>
        <w:t xml:space="preserve">risis </w:t>
      </w:r>
      <w:r>
        <w:rPr>
          <w:rFonts w:ascii="Ubuntu" w:hAnsi="Ubuntu"/>
        </w:rPr>
        <w:t>standards of c</w:t>
      </w:r>
      <w:r w:rsidR="00ED37BB" w:rsidRPr="00164C1B">
        <w:rPr>
          <w:rFonts w:ascii="Ubuntu" w:hAnsi="Ubuntu"/>
        </w:rPr>
        <w:t>are, which address the issue of medical rationing, should direct health care providers to reach these difficult decisions by making individualized assessments of the patients before them.</w:t>
      </w:r>
    </w:p>
    <w:p w14:paraId="53951F45" w14:textId="77777777" w:rsidR="00ED37BB" w:rsidRPr="00164C1B" w:rsidRDefault="00856C10" w:rsidP="00ED37BB">
      <w:pPr>
        <w:pStyle w:val="ListParagraph"/>
        <w:numPr>
          <w:ilvl w:val="0"/>
          <w:numId w:val="3"/>
        </w:numPr>
        <w:spacing w:after="120"/>
        <w:rPr>
          <w:rFonts w:ascii="Ubuntu" w:hAnsi="Ubuntu" w:cstheme="minorHAnsi"/>
          <w:color w:val="000000"/>
          <w:shd w:val="clear" w:color="auto" w:fill="FFFFFF"/>
        </w:rPr>
      </w:pPr>
      <w:r>
        <w:rPr>
          <w:rFonts w:ascii="Ubuntu" w:hAnsi="Ubuntu" w:cstheme="minorHAnsi"/>
          <w:color w:val="000000"/>
          <w:shd w:val="clear" w:color="auto" w:fill="FFFFFF"/>
        </w:rPr>
        <w:t>H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>ealth and social services agencies</w:t>
      </w:r>
      <w:r>
        <w:rPr>
          <w:rFonts w:ascii="Ubuntu" w:hAnsi="Ubuntu" w:cstheme="minorHAnsi"/>
          <w:color w:val="000000"/>
          <w:shd w:val="clear" w:color="auto" w:fill="FFFFFF"/>
        </w:rPr>
        <w:t xml:space="preserve"> at all levels</w:t>
      </w:r>
      <w:r w:rsidR="00ED37BB" w:rsidRPr="00164C1B">
        <w:rPr>
          <w:rFonts w:ascii="Ubuntu" w:hAnsi="Ubuntu" w:cstheme="minorHAnsi"/>
          <w:color w:val="000000"/>
          <w:shd w:val="clear" w:color="auto" w:fill="FFFFFF"/>
        </w:rPr>
        <w:t xml:space="preserve"> should develop </w:t>
      </w:r>
      <w:r w:rsidR="00ED37BB" w:rsidRPr="00164C1B">
        <w:rPr>
          <w:rFonts w:ascii="Ubuntu" w:hAnsi="Ubuntu" w:cs="Calibri"/>
        </w:rPr>
        <w:t>clear protocols about how people with ID will receive care if their caregiver contracts coronavirus/COVID-19 and is hospitalized.</w:t>
      </w:r>
    </w:p>
    <w:p w14:paraId="1ADD8A16" w14:textId="77777777" w:rsidR="00ED37BB" w:rsidRPr="00164C1B" w:rsidRDefault="00856C10" w:rsidP="003E2A09">
      <w:pPr>
        <w:pStyle w:val="ListParagraph"/>
        <w:numPr>
          <w:ilvl w:val="0"/>
          <w:numId w:val="3"/>
        </w:numPr>
        <w:spacing w:after="120"/>
        <w:rPr>
          <w:rFonts w:ascii="Ubuntu" w:hAnsi="Ubuntu" w:cstheme="minorHAnsi"/>
          <w:color w:val="000000"/>
          <w:shd w:val="clear" w:color="auto" w:fill="FFFFFF"/>
        </w:rPr>
      </w:pPr>
      <w:r>
        <w:rPr>
          <w:rFonts w:ascii="Ubuntu" w:hAnsi="Ubuntu" w:cs="Calibri"/>
        </w:rPr>
        <w:t>H</w:t>
      </w:r>
      <w:r w:rsidR="00ED37BB" w:rsidRPr="00164C1B">
        <w:rPr>
          <w:rFonts w:ascii="Ubuntu" w:hAnsi="Ubuntu" w:cs="Calibri"/>
        </w:rPr>
        <w:t>ealth regulatory authorities should ensure that people with ID are able to have continuous access to any needed prescribed medication; for example, by authorizing early prescription refills or extended supplies of medication and ensuring insurance coverage for these modifications.</w:t>
      </w:r>
      <w:r w:rsidR="00ED37BB" w:rsidRPr="00164C1B">
        <w:rPr>
          <w:rStyle w:val="EndnoteReference"/>
          <w:rFonts w:ascii="Ubuntu" w:hAnsi="Ubuntu" w:cs="Calibri"/>
        </w:rPr>
        <w:endnoteReference w:id="2"/>
      </w:r>
    </w:p>
    <w:p w14:paraId="400736AC" w14:textId="77777777" w:rsidR="00ED37BB" w:rsidRPr="00164C1B" w:rsidRDefault="00ED37BB" w:rsidP="00ED37BB">
      <w:pPr>
        <w:pStyle w:val="Heading3"/>
        <w:rPr>
          <w:rFonts w:ascii="Ubuntu" w:hAnsi="Ubuntu"/>
        </w:rPr>
      </w:pPr>
      <w:bookmarkStart w:id="5" w:name="_Toc45275447"/>
      <w:r w:rsidRPr="00164C1B">
        <w:rPr>
          <w:rFonts w:ascii="Ubuntu" w:hAnsi="Ubuntu"/>
        </w:rPr>
        <w:t>Strategies</w:t>
      </w:r>
      <w:bookmarkEnd w:id="5"/>
    </w:p>
    <w:p w14:paraId="6FC945AA" w14:textId="77777777" w:rsidR="00ED37BB" w:rsidRPr="00164C1B" w:rsidRDefault="00ED37BB" w:rsidP="00ED37BB">
      <w:pPr>
        <w:spacing w:after="120"/>
        <w:rPr>
          <w:rFonts w:ascii="Ubuntu" w:hAnsi="Ubuntu"/>
        </w:rPr>
      </w:pPr>
      <w:r w:rsidRPr="00164C1B">
        <w:rPr>
          <w:rFonts w:ascii="Ubuntu" w:hAnsi="Ubuntu"/>
        </w:rPr>
        <w:t>A few possible strategies for pursuing the advocacy opportunities outlined above are:</w:t>
      </w:r>
    </w:p>
    <w:p w14:paraId="17827B27" w14:textId="77777777" w:rsidR="00ED37BB" w:rsidRPr="00164C1B" w:rsidRDefault="00ED37BB" w:rsidP="00ED37BB">
      <w:pPr>
        <w:pStyle w:val="ListParagraph"/>
        <w:numPr>
          <w:ilvl w:val="0"/>
          <w:numId w:val="1"/>
        </w:numPr>
        <w:spacing w:after="120"/>
        <w:rPr>
          <w:rFonts w:ascii="Ubuntu" w:hAnsi="Ubuntu"/>
        </w:rPr>
      </w:pPr>
      <w:r w:rsidRPr="00164C1B">
        <w:rPr>
          <w:rFonts w:ascii="Ubuntu" w:hAnsi="Ubuntu"/>
        </w:rPr>
        <w:t>Develop an advocacy-focused communications strategy – raise awareness of the health equity issues people with ID face using social or traditional media</w:t>
      </w:r>
      <w:r>
        <w:rPr>
          <w:rFonts w:ascii="Ubuntu" w:hAnsi="Ubuntu"/>
        </w:rPr>
        <w:t>.</w:t>
      </w:r>
    </w:p>
    <w:p w14:paraId="03BB4C55" w14:textId="77777777" w:rsidR="00ED37BB" w:rsidRPr="00164C1B" w:rsidRDefault="00ED37BB" w:rsidP="00ED37BB">
      <w:pPr>
        <w:pStyle w:val="ListParagraph"/>
        <w:numPr>
          <w:ilvl w:val="0"/>
          <w:numId w:val="1"/>
        </w:numPr>
        <w:spacing w:after="120"/>
        <w:rPr>
          <w:rFonts w:ascii="Ubuntu" w:hAnsi="Ubuntu"/>
        </w:rPr>
      </w:pPr>
      <w:r w:rsidRPr="00164C1B">
        <w:rPr>
          <w:rFonts w:ascii="Ubuntu" w:hAnsi="Ubuntu"/>
        </w:rPr>
        <w:t xml:space="preserve">Develop or sign on to coalition letters to </w:t>
      </w:r>
      <w:r w:rsidR="00856C10">
        <w:rPr>
          <w:rFonts w:ascii="Ubuntu" w:hAnsi="Ubuntu"/>
        </w:rPr>
        <w:t>key</w:t>
      </w:r>
      <w:r w:rsidRPr="00164C1B">
        <w:rPr>
          <w:rFonts w:ascii="Ubuntu" w:hAnsi="Ubuntu"/>
        </w:rPr>
        <w:t xml:space="preserve"> stakeholders (see example</w:t>
      </w:r>
      <w:r w:rsidR="00856C10">
        <w:rPr>
          <w:rFonts w:ascii="Ubuntu" w:hAnsi="Ubuntu"/>
        </w:rPr>
        <w:t xml:space="preserve"> from the US</w:t>
      </w:r>
      <w:r w:rsidRPr="00164C1B">
        <w:rPr>
          <w:rFonts w:ascii="Ubuntu" w:hAnsi="Ubuntu"/>
        </w:rPr>
        <w:t xml:space="preserve">) – </w:t>
      </w:r>
      <w:r w:rsidRPr="00164C1B">
        <w:rPr>
          <w:rFonts w:ascii="Ubuntu" w:hAnsi="Ubuntu"/>
          <w:b/>
        </w:rPr>
        <w:t xml:space="preserve">please refer to the included example only as an example and do not copy language from it, which was not developed by Special Olympics. </w:t>
      </w:r>
    </w:p>
    <w:p w14:paraId="436BFF18" w14:textId="77777777" w:rsidR="00ED37BB" w:rsidRPr="00164C1B" w:rsidRDefault="00ED37BB" w:rsidP="00ED37BB">
      <w:pPr>
        <w:pStyle w:val="ListParagraph"/>
        <w:numPr>
          <w:ilvl w:val="0"/>
          <w:numId w:val="1"/>
        </w:numPr>
        <w:spacing w:after="120"/>
        <w:rPr>
          <w:rFonts w:ascii="Ubuntu" w:hAnsi="Ubuntu"/>
        </w:rPr>
      </w:pPr>
      <w:r w:rsidRPr="00164C1B">
        <w:rPr>
          <w:rFonts w:ascii="Ubuntu" w:hAnsi="Ubuntu"/>
        </w:rPr>
        <w:t xml:space="preserve">Share information about people with ID with </w:t>
      </w:r>
      <w:r w:rsidR="00856C10">
        <w:rPr>
          <w:rFonts w:ascii="Ubuntu" w:hAnsi="Ubuntu"/>
        </w:rPr>
        <w:t>government</w:t>
      </w:r>
      <w:r w:rsidRPr="00164C1B">
        <w:rPr>
          <w:rFonts w:ascii="Ubuntu" w:hAnsi="Ubuntu"/>
        </w:rPr>
        <w:t xml:space="preserve"> officials and other stakeholders</w:t>
      </w:r>
      <w:r>
        <w:rPr>
          <w:rFonts w:ascii="Ubuntu" w:hAnsi="Ubuntu"/>
        </w:rPr>
        <w:t>.</w:t>
      </w:r>
    </w:p>
    <w:p w14:paraId="212607A0" w14:textId="77777777" w:rsidR="00ED37BB" w:rsidRPr="00164C1B" w:rsidRDefault="00ED37BB" w:rsidP="00ED37BB">
      <w:pPr>
        <w:pStyle w:val="ListParagraph"/>
        <w:numPr>
          <w:ilvl w:val="0"/>
          <w:numId w:val="1"/>
        </w:numPr>
        <w:spacing w:after="120"/>
        <w:rPr>
          <w:rFonts w:ascii="Ubuntu" w:hAnsi="Ubuntu"/>
        </w:rPr>
      </w:pPr>
      <w:r w:rsidRPr="00164C1B">
        <w:rPr>
          <w:rFonts w:ascii="Ubuntu" w:hAnsi="Ubuntu"/>
        </w:rPr>
        <w:t xml:space="preserve">Collect and share stories about athletes’ experiences with the health system during the COVID-19 pandemic – please share these with SOI to spotlight in </w:t>
      </w:r>
      <w:r w:rsidR="00856C10">
        <w:rPr>
          <w:rFonts w:ascii="Ubuntu" w:hAnsi="Ubuntu"/>
        </w:rPr>
        <w:t>international</w:t>
      </w:r>
      <w:r w:rsidRPr="00164C1B">
        <w:rPr>
          <w:rFonts w:ascii="Ubuntu" w:hAnsi="Ubuntu"/>
        </w:rPr>
        <w:t xml:space="preserve"> advocacy and communications</w:t>
      </w:r>
      <w:r>
        <w:rPr>
          <w:rFonts w:ascii="Ubuntu" w:hAnsi="Ubuntu"/>
        </w:rPr>
        <w:t>.</w:t>
      </w:r>
    </w:p>
    <w:p w14:paraId="4AFF38AD" w14:textId="77777777" w:rsidR="00ED37BB" w:rsidRPr="00164C1B" w:rsidRDefault="003E2A09" w:rsidP="00ED37BB">
      <w:pPr>
        <w:pStyle w:val="ListParagraph"/>
        <w:numPr>
          <w:ilvl w:val="0"/>
          <w:numId w:val="1"/>
        </w:numPr>
        <w:spacing w:after="120"/>
        <w:rPr>
          <w:rFonts w:ascii="Ubuntu" w:hAnsi="Ubuntu"/>
        </w:rPr>
      </w:pPr>
      <w:r>
        <w:rPr>
          <w:rFonts w:ascii="Ubuntu" w:hAnsi="Ubuntu"/>
        </w:rPr>
        <w:t xml:space="preserve">Work with local coalitions or government </w:t>
      </w:r>
      <w:r w:rsidR="00ED37BB" w:rsidRPr="00164C1B">
        <w:rPr>
          <w:rFonts w:ascii="Ubuntu" w:hAnsi="Ubuntu"/>
        </w:rPr>
        <w:t>champion</w:t>
      </w:r>
      <w:r>
        <w:rPr>
          <w:rFonts w:ascii="Ubuntu" w:hAnsi="Ubuntu"/>
        </w:rPr>
        <w:t>s</w:t>
      </w:r>
      <w:r w:rsidR="00ED37BB" w:rsidRPr="00164C1B">
        <w:rPr>
          <w:rFonts w:ascii="Ubuntu" w:hAnsi="Ubuntu"/>
        </w:rPr>
        <w:t xml:space="preserve"> to develop relevant legislation</w:t>
      </w:r>
      <w:r w:rsidR="00ED37BB">
        <w:rPr>
          <w:rFonts w:ascii="Ubuntu" w:hAnsi="Ubuntu"/>
        </w:rPr>
        <w:t>.</w:t>
      </w:r>
    </w:p>
    <w:p w14:paraId="3C2E1D7D" w14:textId="77777777" w:rsidR="00477331" w:rsidRDefault="00700B0B">
      <w:r w:rsidRPr="00164C1B">
        <w:rPr>
          <w:rFonts w:ascii="Ubuntu" w:hAnsi="Ubuntu"/>
        </w:rPr>
        <w:object w:dxaOrig="6120" w:dyaOrig="7920" w14:anchorId="5C363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pt;height:619pt" o:ole="">
            <v:imagedata r:id="rId9" o:title=""/>
          </v:shape>
          <o:OLEObject Type="Embed" ProgID="AcroExch.Document.DC" ShapeID="_x0000_i1025" DrawAspect="Content" ObjectID="_1660040797" r:id="rId10"/>
        </w:object>
      </w:r>
    </w:p>
    <w:sectPr w:rsidR="0047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72222" w14:textId="77777777" w:rsidR="00C2553C" w:rsidRDefault="00C2553C" w:rsidP="00ED37BB">
      <w:pPr>
        <w:spacing w:after="0" w:line="240" w:lineRule="auto"/>
      </w:pPr>
      <w:r>
        <w:separator/>
      </w:r>
    </w:p>
  </w:endnote>
  <w:endnote w:type="continuationSeparator" w:id="0">
    <w:p w14:paraId="01505160" w14:textId="77777777" w:rsidR="00C2553C" w:rsidRDefault="00C2553C" w:rsidP="00ED37BB">
      <w:pPr>
        <w:spacing w:after="0" w:line="240" w:lineRule="auto"/>
      </w:pPr>
      <w:r>
        <w:continuationSeparator/>
      </w:r>
    </w:p>
  </w:endnote>
  <w:endnote w:id="1">
    <w:p w14:paraId="16887FFC" w14:textId="77777777" w:rsidR="00ED37BB" w:rsidRPr="009E193C" w:rsidRDefault="00ED37BB" w:rsidP="00ED37BB">
      <w:pPr>
        <w:pStyle w:val="EndnoteText"/>
        <w:rPr>
          <w:rFonts w:ascii="Ubuntu" w:hAnsi="Ubuntu"/>
          <w:sz w:val="16"/>
          <w:szCs w:val="16"/>
        </w:rPr>
      </w:pPr>
      <w:r w:rsidRPr="009E193C">
        <w:rPr>
          <w:rStyle w:val="EndnoteReference"/>
          <w:rFonts w:ascii="Ubuntu" w:hAnsi="Ubuntu"/>
          <w:sz w:val="16"/>
          <w:szCs w:val="16"/>
        </w:rPr>
        <w:endnoteRef/>
      </w:r>
      <w:r w:rsidRPr="009E193C">
        <w:rPr>
          <w:rFonts w:ascii="Ubuntu" w:hAnsi="Ubuntu"/>
          <w:sz w:val="16"/>
          <w:szCs w:val="16"/>
        </w:rPr>
        <w:t xml:space="preserve"> </w:t>
      </w:r>
      <w:r w:rsidRPr="009E193C">
        <w:rPr>
          <w:rFonts w:ascii="Ubuntu" w:hAnsi="Ubuntu" w:cs="Courier New"/>
          <w:color w:val="222222"/>
          <w:sz w:val="16"/>
          <w:szCs w:val="16"/>
          <w:shd w:val="clear" w:color="auto" w:fill="FFFFFF"/>
        </w:rPr>
        <w:t>Institute of Medicine (US) Committee on Disability in America; Field MJ, Jette AM, editors. The Future of Disability in America. Washington (DC): National Academies Press (US); 2007. D, The Americans with Disabilities Act in a Health Care Context.</w:t>
      </w:r>
      <w:r w:rsidRPr="009E193C">
        <w:rPr>
          <w:rStyle w:val="bkciteavail"/>
          <w:rFonts w:ascii="Ubuntu" w:hAnsi="Ubuntu" w:cs="Courier New"/>
          <w:color w:val="222222"/>
          <w:sz w:val="16"/>
          <w:szCs w:val="16"/>
          <w:shd w:val="clear" w:color="auto" w:fill="FFFFFF"/>
        </w:rPr>
        <w:t> </w:t>
      </w:r>
      <w:hyperlink r:id="rId1" w:history="1">
        <w:r w:rsidRPr="00FC65E6">
          <w:rPr>
            <w:rStyle w:val="Hyperlink"/>
            <w:rFonts w:ascii="Ubuntu" w:hAnsi="Ubuntu" w:cs="Courier New"/>
            <w:sz w:val="16"/>
            <w:szCs w:val="16"/>
            <w:shd w:val="clear" w:color="auto" w:fill="FFFFFF"/>
          </w:rPr>
          <w:t>https://www.ncbi.nlm.nih.gov/books/NBK11429/</w:t>
        </w:r>
      </w:hyperlink>
      <w:r w:rsidRPr="009E193C">
        <w:rPr>
          <w:rStyle w:val="bkciteavail"/>
          <w:rFonts w:ascii="Ubuntu" w:hAnsi="Ubuntu" w:cs="Courier New"/>
          <w:color w:val="222222"/>
          <w:sz w:val="16"/>
          <w:szCs w:val="16"/>
          <w:shd w:val="clear" w:color="auto" w:fill="FFFFFF"/>
        </w:rPr>
        <w:t>.</w:t>
      </w:r>
      <w:r>
        <w:rPr>
          <w:rStyle w:val="bkciteavail"/>
          <w:rFonts w:ascii="Ubuntu" w:hAnsi="Ubuntu" w:cs="Courier New"/>
          <w:color w:val="222222"/>
          <w:sz w:val="16"/>
          <w:szCs w:val="16"/>
          <w:shd w:val="clear" w:color="auto" w:fill="FFFFFF"/>
        </w:rPr>
        <w:t xml:space="preserve"> </w:t>
      </w:r>
    </w:p>
  </w:endnote>
  <w:endnote w:id="2">
    <w:p w14:paraId="0DA29F1F" w14:textId="77777777" w:rsidR="00ED37BB" w:rsidRDefault="00ED37BB" w:rsidP="00ED37BB">
      <w:pPr>
        <w:pStyle w:val="EndnoteText"/>
      </w:pPr>
      <w:r w:rsidRPr="009E193C">
        <w:rPr>
          <w:rStyle w:val="EndnoteReference"/>
          <w:rFonts w:ascii="Ubuntu" w:hAnsi="Ubuntu"/>
          <w:sz w:val="16"/>
          <w:szCs w:val="16"/>
        </w:rPr>
        <w:endnoteRef/>
      </w:r>
      <w:r w:rsidRPr="009E193C">
        <w:rPr>
          <w:rFonts w:ascii="Ubuntu" w:hAnsi="Ubuntu"/>
          <w:sz w:val="16"/>
          <w:szCs w:val="16"/>
        </w:rPr>
        <w:t xml:space="preserve"> Cubanski, J., Schwartz, K. &amp; Damico, A. (2020). </w:t>
      </w:r>
      <w:r w:rsidRPr="009E193C">
        <w:rPr>
          <w:rFonts w:ascii="Ubuntu" w:hAnsi="Ubuntu"/>
          <w:i/>
          <w:sz w:val="16"/>
          <w:szCs w:val="16"/>
        </w:rPr>
        <w:t xml:space="preserve">Examining Medicare Part D Policies for Extended Supplies of Medication. </w:t>
      </w:r>
      <w:r w:rsidRPr="009E193C">
        <w:rPr>
          <w:rFonts w:ascii="Ubuntu" w:hAnsi="Ubuntu"/>
          <w:sz w:val="16"/>
          <w:szCs w:val="16"/>
        </w:rPr>
        <w:t>Kaiser Family Foundation (KFF).</w:t>
      </w:r>
      <w:r w:rsidRPr="009E193C">
        <w:rPr>
          <w:rFonts w:ascii="Ubuntu" w:hAnsi="Ubuntu"/>
          <w:i/>
          <w:sz w:val="16"/>
          <w:szCs w:val="16"/>
        </w:rPr>
        <w:t xml:space="preserve"> </w:t>
      </w:r>
      <w:hyperlink r:id="rId2" w:history="1">
        <w:r w:rsidRPr="009E193C">
          <w:rPr>
            <w:rStyle w:val="Hyperlink"/>
            <w:rFonts w:ascii="Ubuntu" w:hAnsi="Ubuntu"/>
            <w:sz w:val="16"/>
            <w:szCs w:val="16"/>
          </w:rPr>
          <w:t>https://www.kff.org/medicare/issue-brief/examining-medicare-part-d-policies-for-extended-supplies-of-medication/</w:t>
        </w:r>
      </w:hyperlink>
      <w:r w:rsidRPr="009E193C">
        <w:rPr>
          <w:rFonts w:ascii="Ubuntu" w:hAnsi="Ubuntu"/>
          <w:sz w:val="16"/>
          <w:szCs w:val="16"/>
        </w:rPr>
        <w:t xml:space="preserve">. McCook, A. (2020). </w:t>
      </w:r>
      <w:r w:rsidRPr="009E193C">
        <w:rPr>
          <w:rFonts w:ascii="Ubuntu" w:hAnsi="Ubuntu"/>
          <w:i/>
          <w:sz w:val="16"/>
          <w:szCs w:val="16"/>
        </w:rPr>
        <w:t>COVID-19: Stockpiling Refills May Strain the System.</w:t>
      </w:r>
      <w:r w:rsidRPr="009E193C">
        <w:rPr>
          <w:rFonts w:ascii="Ubuntu" w:hAnsi="Ubuntu"/>
          <w:sz w:val="16"/>
          <w:szCs w:val="16"/>
        </w:rPr>
        <w:t xml:space="preserve"> Infectious Disease Special Edition (IDSE). </w:t>
      </w:r>
      <w:hyperlink r:id="rId3" w:history="1">
        <w:r w:rsidRPr="009E193C">
          <w:rPr>
            <w:rStyle w:val="Hyperlink"/>
            <w:rFonts w:ascii="Ubuntu" w:hAnsi="Ubuntu"/>
            <w:sz w:val="16"/>
            <w:szCs w:val="16"/>
          </w:rPr>
          <w:t>https://www.idse.net/Policy--Public-Health/Article/03-20/COVID-19-Stockpiling-Refills-May-Strain-the-System/57583</w:t>
        </w:r>
      </w:hyperlink>
      <w:r w:rsidRPr="009E193C">
        <w:rPr>
          <w:rFonts w:ascii="Ubuntu" w:hAnsi="Ubuntu"/>
          <w:sz w:val="16"/>
          <w:szCs w:val="16"/>
        </w:rPr>
        <w:t>. This benefit has been offered to Medicare subscribers, as well as on a case-by-case basis by a number of private insurance companies, but benefit should be made available to all.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AE2D" w14:textId="77777777" w:rsidR="00C2553C" w:rsidRDefault="00C2553C" w:rsidP="00ED37BB">
      <w:pPr>
        <w:spacing w:after="0" w:line="240" w:lineRule="auto"/>
      </w:pPr>
      <w:r>
        <w:separator/>
      </w:r>
    </w:p>
  </w:footnote>
  <w:footnote w:type="continuationSeparator" w:id="0">
    <w:p w14:paraId="400E195E" w14:textId="77777777" w:rsidR="00C2553C" w:rsidRDefault="00C2553C" w:rsidP="00ED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1ECF"/>
    <w:multiLevelType w:val="hybridMultilevel"/>
    <w:tmpl w:val="5C2C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2D1F"/>
    <w:multiLevelType w:val="hybridMultilevel"/>
    <w:tmpl w:val="691609BA"/>
    <w:lvl w:ilvl="0" w:tplc="386607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A2197"/>
    <w:multiLevelType w:val="hybridMultilevel"/>
    <w:tmpl w:val="E5F2395A"/>
    <w:lvl w:ilvl="0" w:tplc="DD242B5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BB"/>
    <w:rsid w:val="00214491"/>
    <w:rsid w:val="003770B3"/>
    <w:rsid w:val="003E2A09"/>
    <w:rsid w:val="00477331"/>
    <w:rsid w:val="004D6A85"/>
    <w:rsid w:val="005054AF"/>
    <w:rsid w:val="00700B0B"/>
    <w:rsid w:val="007D2FCE"/>
    <w:rsid w:val="00856C10"/>
    <w:rsid w:val="009163B2"/>
    <w:rsid w:val="00932AF8"/>
    <w:rsid w:val="009F1A5D"/>
    <w:rsid w:val="00B94A51"/>
    <w:rsid w:val="00C2553C"/>
    <w:rsid w:val="00D06876"/>
    <w:rsid w:val="00D547D6"/>
    <w:rsid w:val="00D917D6"/>
    <w:rsid w:val="00E2678A"/>
    <w:rsid w:val="00E56B8F"/>
    <w:rsid w:val="00ED37BB"/>
    <w:rsid w:val="00F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FD56"/>
  <w15:chartTrackingRefBased/>
  <w15:docId w15:val="{1CEDCFAF-9205-4634-B28A-79CFE3CC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BB"/>
  </w:style>
  <w:style w:type="paragraph" w:styleId="Heading1">
    <w:name w:val="heading 1"/>
    <w:basedOn w:val="Normal"/>
    <w:next w:val="Normal"/>
    <w:link w:val="Heading1Char"/>
    <w:uiPriority w:val="9"/>
    <w:qFormat/>
    <w:rsid w:val="00ED37BB"/>
    <w:pPr>
      <w:keepNext/>
      <w:keepLines/>
      <w:spacing w:before="240" w:after="0"/>
      <w:outlineLvl w:val="0"/>
    </w:pPr>
    <w:rPr>
      <w:rFonts w:ascii="Ubuntu" w:eastAsiaTheme="majorEastAsia" w:hAnsi="Ubuntu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7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7BB"/>
    <w:rPr>
      <w:rFonts w:ascii="Ubuntu" w:eastAsiaTheme="majorEastAsia" w:hAnsi="Ubuntu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7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7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7BB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ED37B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37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37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37BB"/>
    <w:rPr>
      <w:vertAlign w:val="superscript"/>
    </w:rPr>
  </w:style>
  <w:style w:type="character" w:customStyle="1" w:styleId="bkciteavail">
    <w:name w:val="bk_cite_avail"/>
    <w:basedOn w:val="DefaultParagraphFont"/>
    <w:rsid w:val="00ED37BB"/>
  </w:style>
  <w:style w:type="character" w:styleId="CommentReference">
    <w:name w:val="annotation reference"/>
    <w:basedOn w:val="DefaultParagraphFont"/>
    <w:uiPriority w:val="99"/>
    <w:semiHidden/>
    <w:unhideWhenUsed/>
    <w:rsid w:val="00505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4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dse.net/Policy--Public-Health/Article/03-20/COVID-19-Stockpiling-Refills-May-Strain-the-System/57583" TargetMode="External"/><Relationship Id="rId2" Type="http://schemas.openxmlformats.org/officeDocument/2006/relationships/hyperlink" Target="https://www.kff.org/medicare/issue-brief/examining-medicare-part-d-policies-for-extended-supplies-of-medication/" TargetMode="External"/><Relationship Id="rId1" Type="http://schemas.openxmlformats.org/officeDocument/2006/relationships/hyperlink" Target="https://www.ncbi.nlm.nih.gov/books/NBK114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Jenkins</dc:creator>
  <cp:keywords/>
  <dc:description/>
  <cp:lastModifiedBy>Anjela Jenkins</cp:lastModifiedBy>
  <cp:revision>10</cp:revision>
  <dcterms:created xsi:type="dcterms:W3CDTF">2020-07-10T14:37:00Z</dcterms:created>
  <dcterms:modified xsi:type="dcterms:W3CDTF">2020-08-27T11:40:00Z</dcterms:modified>
</cp:coreProperties>
</file>