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CA74" w14:textId="3859F78C" w:rsidR="00E25D14" w:rsidRPr="004224C7" w:rsidRDefault="00AE7A19" w:rsidP="009A339D">
      <w:pPr>
        <w:rPr>
          <w:rFonts w:ascii="Ubuntu" w:hAnsi="Ubuntu"/>
        </w:rPr>
      </w:pPr>
      <w:r w:rsidRPr="004224C7">
        <w:rPr>
          <w:rFonts w:ascii="Ubuntu" w:hAnsi="Ubuntu"/>
        </w:rPr>
        <w:softHyphen/>
      </w:r>
      <w:r w:rsidRPr="004224C7">
        <w:rPr>
          <w:rFonts w:ascii="Ubuntu" w:hAnsi="Ubuntu"/>
        </w:rPr>
        <w:softHyphen/>
      </w:r>
      <w:r w:rsidRPr="004224C7">
        <w:rPr>
          <w:rFonts w:ascii="Ubuntu" w:hAnsi="Ubuntu"/>
        </w:rPr>
        <w:softHyphen/>
      </w:r>
      <w:r w:rsidRPr="004224C7">
        <w:rPr>
          <w:rFonts w:ascii="Ubuntu" w:hAnsi="Ubuntu"/>
        </w:rPr>
        <w:softHyphen/>
      </w:r>
      <w:r w:rsidRPr="004224C7">
        <w:rPr>
          <w:rFonts w:ascii="Ubuntu" w:hAnsi="Ubuntu"/>
        </w:rPr>
        <w:softHyphen/>
      </w:r>
      <w:r w:rsidRPr="004224C7">
        <w:rPr>
          <w:rFonts w:ascii="Ubuntu" w:hAnsi="Ubuntu"/>
        </w:rPr>
        <w:softHyphen/>
      </w:r>
    </w:p>
    <w:p w14:paraId="2A1C6A99" w14:textId="77777777" w:rsidR="004224C7" w:rsidRPr="004F0EA8" w:rsidRDefault="004224C7" w:rsidP="004224C7">
      <w:pPr>
        <w:rPr>
          <w:rFonts w:ascii="Ubuntu" w:hAnsi="Ubuntu"/>
          <w:sz w:val="22"/>
          <w:szCs w:val="22"/>
        </w:rPr>
      </w:pPr>
      <w:r w:rsidRPr="004F0EA8">
        <w:rPr>
          <w:rFonts w:ascii="Ubuntu" w:hAnsi="Ubuntu"/>
          <w:sz w:val="22"/>
          <w:szCs w:val="22"/>
          <w:highlight w:val="yellow"/>
        </w:rPr>
        <w:t>DATE</w:t>
      </w:r>
    </w:p>
    <w:p w14:paraId="1F32380A" w14:textId="77777777" w:rsidR="004224C7" w:rsidRPr="004F0EA8" w:rsidRDefault="004224C7" w:rsidP="004F0EA8">
      <w:pPr>
        <w:spacing w:afterLines="160" w:after="384"/>
        <w:rPr>
          <w:rFonts w:ascii="Ubuntu" w:hAnsi="Ubuntu"/>
          <w:sz w:val="22"/>
          <w:szCs w:val="22"/>
        </w:rPr>
      </w:pPr>
      <w:r w:rsidRPr="004F0EA8">
        <w:rPr>
          <w:rFonts w:ascii="Ubuntu" w:hAnsi="Ubuntu"/>
          <w:sz w:val="22"/>
          <w:szCs w:val="22"/>
        </w:rPr>
        <w:t>Dear [</w:t>
      </w:r>
      <w:r w:rsidRPr="004F0EA8">
        <w:rPr>
          <w:rFonts w:ascii="Ubuntu" w:hAnsi="Ubuntu"/>
          <w:sz w:val="22"/>
          <w:szCs w:val="22"/>
          <w:highlight w:val="yellow"/>
        </w:rPr>
        <w:t>name of relevant legislative or state health department official</w:t>
      </w:r>
      <w:r w:rsidRPr="004F0EA8">
        <w:rPr>
          <w:rFonts w:ascii="Ubuntu" w:hAnsi="Ubuntu"/>
          <w:sz w:val="22"/>
          <w:szCs w:val="22"/>
        </w:rPr>
        <w:t>]:</w:t>
      </w:r>
    </w:p>
    <w:p w14:paraId="30DE0113" w14:textId="7F97A3D3" w:rsidR="00FC0C0A" w:rsidRPr="004F0EA8" w:rsidRDefault="004224C7" w:rsidP="004F0EA8">
      <w:pPr>
        <w:spacing w:line="240" w:lineRule="auto"/>
        <w:rPr>
          <w:rFonts w:ascii="Ubuntu" w:hAnsi="Ubuntu"/>
          <w:sz w:val="22"/>
          <w:szCs w:val="22"/>
        </w:rPr>
      </w:pPr>
      <w:r w:rsidRPr="004F0EA8">
        <w:rPr>
          <w:rFonts w:ascii="Ubuntu" w:hAnsi="Ubuntu"/>
          <w:sz w:val="22"/>
          <w:szCs w:val="22"/>
        </w:rPr>
        <w:t xml:space="preserve">On behalf of the Special Olympics movement, I am reaching out to highlight and emphasize the vulnerability of people with intellectual </w:t>
      </w:r>
      <w:r w:rsidR="004F0EA8" w:rsidRPr="004F0EA8">
        <w:rPr>
          <w:rFonts w:ascii="Ubuntu" w:hAnsi="Ubuntu"/>
          <w:sz w:val="22"/>
          <w:szCs w:val="22"/>
        </w:rPr>
        <w:t xml:space="preserve">disabilities </w:t>
      </w:r>
      <w:r w:rsidRPr="004F0EA8">
        <w:rPr>
          <w:rFonts w:ascii="Ubuntu" w:hAnsi="Ubuntu"/>
          <w:sz w:val="22"/>
          <w:szCs w:val="22"/>
        </w:rPr>
        <w:t xml:space="preserve">(ID) in the COVID-19 pandemic. They represent about 3% of the population but are often </w:t>
      </w:r>
      <w:r w:rsidR="004F0EA8" w:rsidRPr="004F0EA8">
        <w:rPr>
          <w:rFonts w:ascii="Ubuntu" w:hAnsi="Ubuntu"/>
          <w:sz w:val="22"/>
          <w:szCs w:val="22"/>
        </w:rPr>
        <w:t>left behind</w:t>
      </w:r>
      <w:r w:rsidRPr="004F0EA8">
        <w:rPr>
          <w:rFonts w:ascii="Ubuntu" w:hAnsi="Ubuntu"/>
          <w:sz w:val="22"/>
          <w:szCs w:val="22"/>
        </w:rPr>
        <w:t xml:space="preserve">. </w:t>
      </w:r>
      <w:r w:rsidRPr="004F0EA8">
        <w:rPr>
          <w:rFonts w:ascii="Ubuntu" w:hAnsi="Ubuntu"/>
          <w:b/>
          <w:sz w:val="22"/>
          <w:szCs w:val="22"/>
        </w:rPr>
        <w:t>I am writing to strongly encourage  [</w:t>
      </w:r>
      <w:r w:rsidRPr="004F0EA8">
        <w:rPr>
          <w:rFonts w:ascii="Ubuntu" w:hAnsi="Ubuntu"/>
          <w:b/>
          <w:sz w:val="22"/>
          <w:szCs w:val="22"/>
          <w:highlight w:val="yellow"/>
        </w:rPr>
        <w:t>actor name: you / the government of State / the health department of State</w:t>
      </w:r>
      <w:r w:rsidRPr="004F0EA8">
        <w:rPr>
          <w:rFonts w:ascii="Ubuntu" w:hAnsi="Ubuntu"/>
          <w:b/>
          <w:sz w:val="22"/>
          <w:szCs w:val="22"/>
        </w:rPr>
        <w:t>] to recognize the increased risk of severe COVID-19 illness faced by people with ID and designate people with ID as a priority population for access to the COVID-19 vaccine.</w:t>
      </w:r>
      <w:r w:rsidRPr="004F0EA8">
        <w:rPr>
          <w:rFonts w:ascii="Ubuntu" w:hAnsi="Ubuntu"/>
          <w:sz w:val="22"/>
          <w:szCs w:val="22"/>
        </w:rPr>
        <w:t xml:space="preserve"> </w:t>
      </w:r>
    </w:p>
    <w:p w14:paraId="5A95EFAD" w14:textId="39756BBC" w:rsidR="00FC0C0A" w:rsidRPr="004F0EA8" w:rsidRDefault="004224C7" w:rsidP="004F0EA8">
      <w:pPr>
        <w:spacing w:line="240" w:lineRule="auto"/>
        <w:rPr>
          <w:rFonts w:ascii="Ubuntu" w:hAnsi="Ubuntu" w:cstheme="minorHAnsi"/>
          <w:b/>
          <w:bCs/>
          <w:sz w:val="22"/>
          <w:szCs w:val="22"/>
        </w:rPr>
      </w:pPr>
      <w:r w:rsidRPr="004F0EA8">
        <w:rPr>
          <w:rFonts w:ascii="Ubuntu" w:hAnsi="Ubuntu" w:cstheme="minorHAnsi"/>
          <w:sz w:val="22"/>
          <w:szCs w:val="22"/>
        </w:rPr>
        <w:t>Special Olympics is a global movement to end discrimination against people with ID and propel inclusion. While Special Olympics is most widely known for our sporting opportunities, which empower and foster accept</w:t>
      </w:r>
      <w:r w:rsidR="00823D4A" w:rsidRPr="004F0EA8">
        <w:rPr>
          <w:rFonts w:ascii="Ubuntu" w:hAnsi="Ubuntu" w:cstheme="minorHAnsi"/>
          <w:sz w:val="22"/>
          <w:szCs w:val="22"/>
        </w:rPr>
        <w:t>ance of people with ID</w:t>
      </w:r>
      <w:r w:rsidRPr="004F0EA8">
        <w:rPr>
          <w:rFonts w:ascii="Ubuntu" w:hAnsi="Ubuntu" w:cstheme="minorHAnsi"/>
          <w:sz w:val="22"/>
          <w:szCs w:val="22"/>
        </w:rPr>
        <w:t>, we also have over twenty years of experience working to improve the health status of this population. Because of this experience and expertise, we have been distressed, but not completely surprised, by</w:t>
      </w:r>
      <w:r w:rsidRPr="004F0EA8">
        <w:rPr>
          <w:rFonts w:ascii="Ubuntu" w:hAnsi="Ubuntu" w:cstheme="minorHAnsi"/>
          <w:b/>
          <w:bCs/>
          <w:sz w:val="22"/>
          <w:szCs w:val="22"/>
        </w:rPr>
        <w:t xml:space="preserve"> the fact that </w:t>
      </w:r>
      <w:r w:rsidR="00E76F12" w:rsidRPr="004F0EA8">
        <w:rPr>
          <w:rFonts w:ascii="Ubuntu" w:hAnsi="Ubuntu" w:cstheme="minorHAnsi"/>
          <w:b/>
          <w:bCs/>
          <w:sz w:val="22"/>
          <w:szCs w:val="22"/>
        </w:rPr>
        <w:t xml:space="preserve">the larger population of </w:t>
      </w:r>
      <w:r w:rsidRPr="004F0EA8">
        <w:rPr>
          <w:rFonts w:ascii="Ubuntu" w:hAnsi="Ubuntu" w:cstheme="minorHAnsi"/>
          <w:b/>
          <w:bCs/>
          <w:sz w:val="22"/>
          <w:szCs w:val="22"/>
        </w:rPr>
        <w:t xml:space="preserve">people with </w:t>
      </w:r>
      <w:r w:rsidR="00823D4A" w:rsidRPr="004F0EA8">
        <w:rPr>
          <w:rFonts w:ascii="Ubuntu" w:hAnsi="Ubuntu" w:cstheme="minorHAnsi"/>
          <w:b/>
          <w:bCs/>
          <w:sz w:val="22"/>
          <w:szCs w:val="22"/>
        </w:rPr>
        <w:t xml:space="preserve">intellectual </w:t>
      </w:r>
      <w:r w:rsidR="004F0EA8" w:rsidRPr="004F0EA8">
        <w:rPr>
          <w:rFonts w:ascii="Ubuntu" w:hAnsi="Ubuntu" w:cstheme="minorHAnsi"/>
          <w:b/>
          <w:bCs/>
          <w:sz w:val="22"/>
          <w:szCs w:val="22"/>
        </w:rPr>
        <w:t>and developmental disabilities</w:t>
      </w:r>
      <w:r w:rsidRPr="004F0EA8">
        <w:rPr>
          <w:rFonts w:ascii="Ubuntu" w:hAnsi="Ubuntu" w:cstheme="minorHAnsi"/>
          <w:b/>
          <w:bCs/>
          <w:sz w:val="22"/>
          <w:szCs w:val="22"/>
        </w:rPr>
        <w:t xml:space="preserve"> </w:t>
      </w:r>
      <w:r w:rsidR="00B2279F" w:rsidRPr="004F0EA8">
        <w:rPr>
          <w:rFonts w:ascii="Ubuntu" w:hAnsi="Ubuntu" w:cstheme="minorHAnsi"/>
          <w:b/>
          <w:bCs/>
          <w:sz w:val="22"/>
          <w:szCs w:val="22"/>
        </w:rPr>
        <w:t>are</w:t>
      </w:r>
      <w:r w:rsidRPr="004F0EA8">
        <w:rPr>
          <w:rFonts w:ascii="Ubuntu" w:hAnsi="Ubuntu" w:cstheme="minorHAnsi"/>
          <w:b/>
          <w:bCs/>
          <w:sz w:val="22"/>
          <w:szCs w:val="22"/>
        </w:rPr>
        <w:t xml:space="preserve"> two to four times more likely to die of COVID-19 compared with the general population.</w:t>
      </w:r>
      <w:r w:rsidRPr="004F0EA8">
        <w:rPr>
          <w:rStyle w:val="FootnoteReference"/>
          <w:rFonts w:ascii="Ubuntu" w:hAnsi="Ubuntu" w:cstheme="minorHAnsi"/>
          <w:b/>
          <w:bCs/>
          <w:sz w:val="22"/>
          <w:szCs w:val="22"/>
        </w:rPr>
        <w:footnoteReference w:id="1"/>
      </w:r>
      <w:r w:rsidRPr="004F0EA8">
        <w:rPr>
          <w:rFonts w:ascii="Ubuntu" w:hAnsi="Ubuntu" w:cstheme="minorHAnsi"/>
          <w:b/>
          <w:bCs/>
          <w:sz w:val="22"/>
          <w:szCs w:val="22"/>
        </w:rPr>
        <w:t xml:space="preserve"> </w:t>
      </w:r>
      <w:r w:rsidR="004F0EA8" w:rsidRPr="004F0EA8">
        <w:rPr>
          <w:rFonts w:ascii="Ubuntu" w:hAnsi="Ubuntu" w:cstheme="minorHAnsi"/>
          <w:b/>
          <w:bCs/>
          <w:sz w:val="22"/>
          <w:szCs w:val="22"/>
        </w:rPr>
        <w:t xml:space="preserve">Of </w:t>
      </w:r>
      <w:r w:rsidRPr="004F0EA8">
        <w:rPr>
          <w:rFonts w:ascii="Ubuntu" w:hAnsi="Ubuntu" w:cstheme="minorHAnsi"/>
          <w:b/>
          <w:bCs/>
          <w:sz w:val="22"/>
          <w:szCs w:val="22"/>
        </w:rPr>
        <w:t xml:space="preserve">18-75 year old people with </w:t>
      </w:r>
      <w:r w:rsidR="004F0EA8" w:rsidRPr="004F0EA8">
        <w:rPr>
          <w:rFonts w:ascii="Ubuntu" w:hAnsi="Ubuntu" w:cstheme="minorHAnsi"/>
          <w:b/>
          <w:bCs/>
          <w:sz w:val="22"/>
          <w:szCs w:val="22"/>
        </w:rPr>
        <w:t xml:space="preserve">intellectual and developmental disabilities who get COVID-19, </w:t>
      </w:r>
      <w:r w:rsidRPr="004F0EA8">
        <w:rPr>
          <w:rFonts w:ascii="Ubuntu" w:hAnsi="Ubuntu" w:cstheme="minorHAnsi"/>
          <w:b/>
          <w:bCs/>
          <w:sz w:val="22"/>
          <w:szCs w:val="22"/>
        </w:rPr>
        <w:t>4.5%</w:t>
      </w:r>
      <w:r w:rsidR="004F0EA8" w:rsidRPr="004F0EA8">
        <w:rPr>
          <w:rFonts w:ascii="Ubuntu" w:hAnsi="Ubuntu" w:cstheme="minorHAnsi"/>
          <w:b/>
          <w:bCs/>
          <w:sz w:val="22"/>
          <w:szCs w:val="22"/>
        </w:rPr>
        <w:t xml:space="preserve"> die—a rate </w:t>
      </w:r>
      <w:r w:rsidRPr="004F0EA8">
        <w:rPr>
          <w:rFonts w:ascii="Ubuntu" w:hAnsi="Ubuntu" w:cstheme="minorHAnsi"/>
          <w:b/>
          <w:bCs/>
          <w:sz w:val="22"/>
          <w:szCs w:val="22"/>
        </w:rPr>
        <w:t>comparable to that of people 75 years or older</w:t>
      </w:r>
      <w:r w:rsidR="004F0EA8" w:rsidRPr="004F0EA8">
        <w:rPr>
          <w:rFonts w:ascii="Ubuntu" w:hAnsi="Ubuntu" w:cstheme="minorHAnsi"/>
          <w:b/>
          <w:bCs/>
          <w:sz w:val="22"/>
          <w:szCs w:val="22"/>
        </w:rPr>
        <w:t xml:space="preserve"> without intellectual or developmental disabilities</w:t>
      </w:r>
      <w:r w:rsidRPr="004F0EA8">
        <w:rPr>
          <w:rFonts w:ascii="Ubuntu" w:hAnsi="Ubuntu" w:cstheme="minorHAnsi"/>
          <w:b/>
          <w:bCs/>
          <w:sz w:val="22"/>
          <w:szCs w:val="22"/>
        </w:rPr>
        <w:t>.</w:t>
      </w:r>
    </w:p>
    <w:p w14:paraId="0BB59CE0" w14:textId="1684A6C8" w:rsidR="00FC0C0A" w:rsidRPr="004F0EA8" w:rsidRDefault="004224C7" w:rsidP="004F0EA8">
      <w:pPr>
        <w:spacing w:line="240" w:lineRule="auto"/>
        <w:rPr>
          <w:rFonts w:ascii="Ubuntu" w:hAnsi="Ubuntu" w:cstheme="minorHAnsi"/>
          <w:sz w:val="22"/>
          <w:szCs w:val="22"/>
        </w:rPr>
      </w:pPr>
      <w:r w:rsidRPr="004F0EA8">
        <w:rPr>
          <w:rFonts w:ascii="Ubuntu" w:hAnsi="Ubuntu" w:cstheme="minorHAnsi"/>
          <w:sz w:val="22"/>
          <w:szCs w:val="22"/>
        </w:rPr>
        <w:t xml:space="preserve">People with </w:t>
      </w:r>
      <w:r w:rsidR="004F0EA8" w:rsidRPr="004F0EA8">
        <w:rPr>
          <w:rFonts w:ascii="Ubuntu" w:hAnsi="Ubuntu" w:cstheme="minorHAnsi"/>
          <w:sz w:val="22"/>
          <w:szCs w:val="22"/>
        </w:rPr>
        <w:t>ID</w:t>
      </w:r>
      <w:r w:rsidRPr="004F0EA8">
        <w:rPr>
          <w:rFonts w:ascii="Ubuntu" w:hAnsi="Ubuntu" w:cstheme="minorHAnsi"/>
          <w:sz w:val="22"/>
          <w:szCs w:val="22"/>
        </w:rPr>
        <w:t xml:space="preserve"> may have greater-than-average exposure to the virus because of their living situations. Around 20% of adults with </w:t>
      </w:r>
      <w:r w:rsidR="004F0EA8" w:rsidRPr="004F0EA8">
        <w:rPr>
          <w:rFonts w:ascii="Ubuntu" w:hAnsi="Ubuntu" w:cstheme="minorHAnsi"/>
          <w:sz w:val="22"/>
          <w:szCs w:val="22"/>
        </w:rPr>
        <w:t>intellectual and developmental disabilities</w:t>
      </w:r>
      <w:r w:rsidRPr="004F0EA8">
        <w:rPr>
          <w:rFonts w:ascii="Ubuntu" w:hAnsi="Ubuntu" w:cstheme="minorHAnsi"/>
          <w:sz w:val="22"/>
          <w:szCs w:val="22"/>
        </w:rPr>
        <w:t xml:space="preserve"> live in group settings, where the virus has spread rapidly and exacted a heavy toll: a study in New York State found the COVID-19 mortality rate of people with </w:t>
      </w:r>
      <w:r w:rsidR="004F0EA8" w:rsidRPr="004F0EA8">
        <w:rPr>
          <w:rFonts w:ascii="Ubuntu" w:hAnsi="Ubuntu" w:cstheme="minorHAnsi"/>
          <w:sz w:val="22"/>
          <w:szCs w:val="22"/>
        </w:rPr>
        <w:t>intellectual and developmental disabilities</w:t>
      </w:r>
      <w:r w:rsidRPr="004F0EA8">
        <w:rPr>
          <w:rFonts w:ascii="Ubuntu" w:hAnsi="Ubuntu" w:cstheme="minorHAnsi"/>
          <w:sz w:val="22"/>
          <w:szCs w:val="22"/>
        </w:rPr>
        <w:t xml:space="preserve"> living in group settings to be more than seven times as high as the rate in the general population.</w:t>
      </w:r>
      <w:r w:rsidRPr="004F0EA8">
        <w:rPr>
          <w:rStyle w:val="FootnoteReference"/>
          <w:rFonts w:ascii="Ubuntu" w:hAnsi="Ubuntu" w:cstheme="minorHAnsi"/>
          <w:sz w:val="22"/>
          <w:szCs w:val="22"/>
        </w:rPr>
        <w:footnoteReference w:id="2"/>
      </w:r>
      <w:r w:rsidR="00FC0C0A" w:rsidRPr="004F0EA8">
        <w:rPr>
          <w:rFonts w:ascii="Ubuntu" w:hAnsi="Ubuntu" w:cstheme="minorHAnsi"/>
          <w:sz w:val="22"/>
          <w:szCs w:val="22"/>
        </w:rPr>
        <w:t xml:space="preserve">  </w:t>
      </w:r>
    </w:p>
    <w:p w14:paraId="783104A0" w14:textId="55C2CBCE" w:rsidR="00FC0C0A" w:rsidRPr="004F0EA8" w:rsidRDefault="004224C7" w:rsidP="004F0EA8">
      <w:pPr>
        <w:spacing w:afterLines="160" w:after="384" w:line="240" w:lineRule="auto"/>
        <w:rPr>
          <w:rFonts w:ascii="Ubuntu" w:hAnsi="Ubuntu" w:cstheme="minorHAnsi"/>
          <w:sz w:val="22"/>
          <w:szCs w:val="22"/>
        </w:rPr>
      </w:pPr>
      <w:r w:rsidRPr="004F0EA8">
        <w:rPr>
          <w:rFonts w:ascii="Ubuntu" w:hAnsi="Ubuntu" w:cstheme="minorHAnsi"/>
          <w:sz w:val="22"/>
          <w:szCs w:val="22"/>
        </w:rPr>
        <w:t>Regardless of their living situation, people with ID are known to be more susceptible to contracting and succumbing to respiratory illnesses. Studies have shown people with ID to die from influenza at nearly</w:t>
      </w:r>
      <w:r w:rsidR="00FC0C0A" w:rsidRPr="004F0EA8">
        <w:rPr>
          <w:rFonts w:ascii="Ubuntu" w:hAnsi="Ubuntu" w:cstheme="minorHAnsi"/>
          <w:sz w:val="22"/>
          <w:szCs w:val="22"/>
        </w:rPr>
        <w:t xml:space="preserve"> three times the rate of the general population and found respiratory illnesses to be one of the primary causes of death for over 40% of the people with Down syndrome.</w:t>
      </w:r>
      <w:r w:rsidR="00FC0C0A" w:rsidRPr="004F0EA8">
        <w:rPr>
          <w:rStyle w:val="FootnoteReference"/>
          <w:rFonts w:ascii="Ubuntu" w:hAnsi="Ubuntu" w:cstheme="minorHAnsi"/>
          <w:sz w:val="22"/>
          <w:szCs w:val="22"/>
        </w:rPr>
        <w:footnoteReference w:id="3"/>
      </w:r>
      <w:r w:rsidR="00FC0C0A" w:rsidRPr="004F0EA8">
        <w:rPr>
          <w:rFonts w:ascii="Ubuntu" w:hAnsi="Ubuntu" w:cstheme="minorHAnsi"/>
          <w:sz w:val="22"/>
          <w:szCs w:val="22"/>
        </w:rPr>
        <w:t xml:space="preserve"> </w:t>
      </w:r>
    </w:p>
    <w:p w14:paraId="1A8F06A6" w14:textId="67B04648" w:rsidR="004224C7" w:rsidRPr="004F0EA8" w:rsidRDefault="004224C7" w:rsidP="004F0EA8">
      <w:pPr>
        <w:spacing w:afterLines="160" w:after="384" w:line="240" w:lineRule="auto"/>
        <w:rPr>
          <w:rFonts w:ascii="Ubuntu" w:hAnsi="Ubuntu" w:cstheme="minorHAnsi"/>
          <w:sz w:val="22"/>
          <w:szCs w:val="22"/>
        </w:rPr>
      </w:pPr>
    </w:p>
    <w:p w14:paraId="2DEE5934" w14:textId="48F4763B" w:rsidR="004F0EA8" w:rsidRPr="004F0EA8" w:rsidRDefault="004224C7" w:rsidP="004F0EA8">
      <w:pPr>
        <w:spacing w:line="240" w:lineRule="auto"/>
        <w:rPr>
          <w:rFonts w:ascii="Ubuntu" w:hAnsi="Ubuntu" w:cstheme="minorHAnsi"/>
          <w:sz w:val="22"/>
          <w:szCs w:val="22"/>
        </w:rPr>
      </w:pPr>
      <w:r w:rsidRPr="004F0EA8">
        <w:rPr>
          <w:rFonts w:ascii="Ubuntu" w:hAnsi="Ubuntu" w:cstheme="minorHAnsi"/>
          <w:sz w:val="22"/>
          <w:szCs w:val="22"/>
        </w:rPr>
        <w:t xml:space="preserve">Furthermore, while health researchers still do not understand </w:t>
      </w:r>
      <w:r w:rsidRPr="004F0EA8">
        <w:rPr>
          <w:rFonts w:ascii="Ubuntu" w:hAnsi="Ubuntu" w:cstheme="minorHAnsi"/>
          <w:i/>
          <w:sz w:val="22"/>
          <w:szCs w:val="22"/>
        </w:rPr>
        <w:t xml:space="preserve">how </w:t>
      </w:r>
      <w:r w:rsidRPr="004F0EA8">
        <w:rPr>
          <w:rFonts w:ascii="Ubuntu" w:hAnsi="Ubuntu" w:cstheme="minorHAnsi"/>
          <w:sz w:val="22"/>
          <w:szCs w:val="22"/>
        </w:rPr>
        <w:t xml:space="preserve">or </w:t>
      </w:r>
      <w:r w:rsidRPr="004F0EA8">
        <w:rPr>
          <w:rFonts w:ascii="Ubuntu" w:hAnsi="Ubuntu" w:cstheme="minorHAnsi"/>
          <w:i/>
          <w:sz w:val="22"/>
          <w:szCs w:val="22"/>
        </w:rPr>
        <w:t>why</w:t>
      </w:r>
      <w:r w:rsidRPr="004F0EA8">
        <w:rPr>
          <w:rFonts w:ascii="Ubuntu" w:hAnsi="Ubuntu" w:cstheme="minorHAnsi"/>
          <w:sz w:val="22"/>
          <w:szCs w:val="22"/>
        </w:rPr>
        <w:t xml:space="preserve"> chronic health conditions (co-morbidities) worsen the COVID-19 prognosis or outcomes, it is widely accepted that people with such conditions are a higher risk.</w:t>
      </w:r>
      <w:r w:rsidRPr="004F0EA8">
        <w:rPr>
          <w:rStyle w:val="FootnoteReference"/>
          <w:rFonts w:ascii="Ubuntu" w:hAnsi="Ubuntu" w:cstheme="minorHAnsi"/>
          <w:sz w:val="22"/>
          <w:szCs w:val="22"/>
        </w:rPr>
        <w:footnoteReference w:id="4"/>
      </w:r>
      <w:r w:rsidRPr="004F0EA8">
        <w:rPr>
          <w:rFonts w:ascii="Ubuntu" w:hAnsi="Ubuntu" w:cstheme="minorHAnsi"/>
          <w:sz w:val="22"/>
          <w:szCs w:val="22"/>
        </w:rPr>
        <w:t xml:space="preserve"> Due in large part to barriers accessing health services—for example, lack of accessible equipment and lack of adequate healthcare provider training—people with ID tend to be less healthy than the general population.</w:t>
      </w:r>
      <w:r w:rsidRPr="004F0EA8">
        <w:rPr>
          <w:rStyle w:val="FootnoteReference"/>
          <w:rFonts w:ascii="Ubuntu" w:hAnsi="Ubuntu" w:cstheme="minorHAnsi"/>
          <w:sz w:val="22"/>
          <w:szCs w:val="22"/>
        </w:rPr>
        <w:footnoteReference w:id="5"/>
      </w:r>
      <w:r w:rsidRPr="004F0EA8">
        <w:rPr>
          <w:rFonts w:ascii="Ubuntu" w:hAnsi="Ubuntu" w:cstheme="minorHAnsi"/>
          <w:sz w:val="22"/>
          <w:szCs w:val="22"/>
        </w:rPr>
        <w:t xml:space="preserve"> With up to 2.5 times as many chronic health conditions as their peers in the general </w:t>
      </w:r>
      <w:r w:rsidR="004F0EA8" w:rsidRPr="004F0EA8">
        <w:rPr>
          <w:rFonts w:ascii="Ubuntu" w:hAnsi="Ubuntu" w:cstheme="minorHAnsi"/>
          <w:sz w:val="22"/>
          <w:szCs w:val="22"/>
        </w:rPr>
        <w:t>population, most people with ID</w:t>
      </w:r>
      <w:r w:rsidRPr="004F0EA8">
        <w:rPr>
          <w:rFonts w:ascii="Ubuntu" w:hAnsi="Ubuntu" w:cstheme="minorHAnsi"/>
          <w:sz w:val="22"/>
          <w:szCs w:val="22"/>
        </w:rPr>
        <w:t xml:space="preserve"> also live with other risk factors for COVID-19 complications and death, like obesity and diabetes, creating a deadly combination.</w:t>
      </w:r>
      <w:r w:rsidRPr="004F0EA8">
        <w:rPr>
          <w:rStyle w:val="FootnoteReference"/>
          <w:rFonts w:ascii="Ubuntu" w:hAnsi="Ubuntu" w:cstheme="minorHAnsi"/>
          <w:sz w:val="22"/>
          <w:szCs w:val="22"/>
        </w:rPr>
        <w:footnoteReference w:id="6"/>
      </w:r>
      <w:r w:rsidRPr="004F0EA8">
        <w:rPr>
          <w:rFonts w:ascii="Ubuntu" w:hAnsi="Ubuntu" w:cstheme="minorHAnsi"/>
          <w:sz w:val="22"/>
          <w:szCs w:val="22"/>
        </w:rPr>
        <w:t xml:space="preserve"> </w:t>
      </w:r>
      <w:r w:rsidR="004F0EA8" w:rsidRPr="004F0EA8">
        <w:rPr>
          <w:rFonts w:ascii="Ubuntu" w:eastAsia="Times New Roman" w:hAnsi="Ubuntu"/>
          <w:sz w:val="22"/>
          <w:szCs w:val="22"/>
        </w:rPr>
        <w:t>However, literature also indicates that controlling for comorbidity, ID continues to conf</w:t>
      </w:r>
      <w:r w:rsidR="004F0EA8" w:rsidRPr="004F0EA8">
        <w:rPr>
          <w:rFonts w:ascii="Ubuntu" w:eastAsia="Times New Roman" w:hAnsi="Ubuntu"/>
          <w:sz w:val="22"/>
          <w:szCs w:val="22"/>
        </w:rPr>
        <w:t>er significant risk of death</w:t>
      </w:r>
      <w:r w:rsidR="004F0EA8" w:rsidRPr="004F0EA8">
        <w:rPr>
          <w:rFonts w:ascii="Ubuntu" w:eastAsia="Times New Roman" w:hAnsi="Ubuntu"/>
          <w:sz w:val="22"/>
          <w:szCs w:val="22"/>
        </w:rPr>
        <w:t>.</w:t>
      </w:r>
      <w:r w:rsidR="004F0EA8" w:rsidRPr="004F0EA8">
        <w:rPr>
          <w:rStyle w:val="FootnoteReference"/>
          <w:rFonts w:ascii="Ubuntu" w:eastAsia="Times New Roman" w:hAnsi="Ubuntu"/>
          <w:sz w:val="22"/>
          <w:szCs w:val="22"/>
        </w:rPr>
        <w:footnoteReference w:id="7"/>
      </w:r>
    </w:p>
    <w:p w14:paraId="09564ECE" w14:textId="324F36E3" w:rsidR="00FC0C0A" w:rsidRPr="004F0EA8" w:rsidRDefault="004224C7" w:rsidP="004F0EA8">
      <w:pPr>
        <w:spacing w:line="240" w:lineRule="auto"/>
        <w:rPr>
          <w:rFonts w:ascii="Ubuntu" w:hAnsi="Ubuntu"/>
          <w:sz w:val="22"/>
          <w:szCs w:val="22"/>
        </w:rPr>
      </w:pPr>
      <w:r w:rsidRPr="004F0EA8">
        <w:rPr>
          <w:rFonts w:ascii="Ubuntu" w:hAnsi="Ubuntu"/>
          <w:sz w:val="22"/>
          <w:szCs w:val="22"/>
        </w:rPr>
        <w:t xml:space="preserve">People with </w:t>
      </w:r>
      <w:r w:rsidR="004F0EA8" w:rsidRPr="004F0EA8">
        <w:rPr>
          <w:rFonts w:ascii="Ubuntu" w:hAnsi="Ubuntu"/>
          <w:sz w:val="22"/>
          <w:szCs w:val="22"/>
        </w:rPr>
        <w:t>intellectual and developmental disabilities</w:t>
      </w:r>
      <w:r w:rsidRPr="004F0EA8">
        <w:rPr>
          <w:rFonts w:ascii="Ubuntu" w:hAnsi="Ubuntu"/>
          <w:sz w:val="22"/>
          <w:szCs w:val="22"/>
        </w:rPr>
        <w:t xml:space="preserve"> faced barriers to accessing health services prior to COVID-19, too, exacerbating its impact on this population. These barriers, including attitudes undervaluing their existence, persisted during the pandem</w:t>
      </w:r>
      <w:r w:rsidR="004F0EA8">
        <w:rPr>
          <w:rFonts w:ascii="Ubuntu" w:hAnsi="Ubuntu"/>
          <w:sz w:val="22"/>
          <w:szCs w:val="22"/>
        </w:rPr>
        <w:t>ic, costing many people with ID</w:t>
      </w:r>
      <w:r w:rsidRPr="004F0EA8">
        <w:rPr>
          <w:rFonts w:ascii="Ubuntu" w:hAnsi="Ubuntu"/>
          <w:sz w:val="22"/>
          <w:szCs w:val="22"/>
        </w:rPr>
        <w:t xml:space="preserve"> their lives and putting more people at risk. </w:t>
      </w:r>
    </w:p>
    <w:p w14:paraId="5D1EE3CB" w14:textId="413BE170" w:rsidR="00FC0C0A" w:rsidRPr="004F0EA8" w:rsidRDefault="004224C7" w:rsidP="004F0EA8">
      <w:pPr>
        <w:spacing w:line="240" w:lineRule="auto"/>
        <w:rPr>
          <w:rFonts w:ascii="Ubuntu" w:hAnsi="Ubuntu"/>
          <w:sz w:val="22"/>
          <w:szCs w:val="22"/>
        </w:rPr>
      </w:pPr>
      <w:r w:rsidRPr="004F0EA8">
        <w:rPr>
          <w:rFonts w:ascii="Ubuntu" w:hAnsi="Ubuntu" w:cstheme="minorHAnsi"/>
          <w:sz w:val="22"/>
          <w:szCs w:val="22"/>
        </w:rPr>
        <w:t>Whatever the reason—biological predisposition, social determinants of health, or otherwise—the outcome is an unacceptably high burden of COVID-19 disease and mortality borne by people with ID. For this reason, we urge</w:t>
      </w:r>
      <w:r w:rsidR="00823D4A" w:rsidRPr="004F0EA8">
        <w:rPr>
          <w:rFonts w:ascii="Ubuntu" w:hAnsi="Ubuntu" w:cstheme="minorHAnsi"/>
          <w:sz w:val="22"/>
          <w:szCs w:val="22"/>
        </w:rPr>
        <w:t xml:space="preserve"> you to keep all people with ID</w:t>
      </w:r>
      <w:r w:rsidRPr="004F0EA8">
        <w:rPr>
          <w:rFonts w:ascii="Ubuntu" w:hAnsi="Ubuntu" w:cstheme="minorHAnsi"/>
          <w:sz w:val="22"/>
          <w:szCs w:val="22"/>
        </w:rPr>
        <w:t xml:space="preserve"> front-of-mind as you continue your efforts to roll out the COVID-19 vaccines to all [</w:t>
      </w:r>
      <w:r w:rsidRPr="004F0EA8">
        <w:rPr>
          <w:rFonts w:ascii="Ubuntu" w:hAnsi="Ubuntu" w:cstheme="minorHAnsi"/>
          <w:sz w:val="22"/>
          <w:szCs w:val="22"/>
          <w:highlight w:val="yellow"/>
        </w:rPr>
        <w:t xml:space="preserve">state </w:t>
      </w:r>
      <w:proofErr w:type="spellStart"/>
      <w:r w:rsidRPr="004F0EA8">
        <w:rPr>
          <w:rFonts w:ascii="Ubuntu" w:hAnsi="Ubuntu" w:cstheme="minorHAnsi"/>
          <w:sz w:val="22"/>
          <w:szCs w:val="22"/>
          <w:highlight w:val="yellow"/>
        </w:rPr>
        <w:t>demonym</w:t>
      </w:r>
      <w:proofErr w:type="spellEnd"/>
      <w:r w:rsidRPr="004F0EA8">
        <w:rPr>
          <w:rFonts w:ascii="Ubuntu" w:hAnsi="Ubuntu" w:cstheme="minorHAnsi"/>
          <w:sz w:val="22"/>
          <w:szCs w:val="22"/>
          <w:highlight w:val="yellow"/>
        </w:rPr>
        <w:t xml:space="preserve"> – e.g., Arizonans, Texans</w:t>
      </w:r>
      <w:r w:rsidRPr="004F0EA8">
        <w:rPr>
          <w:rFonts w:ascii="Ubuntu" w:hAnsi="Ubuntu" w:cstheme="minorHAnsi"/>
          <w:sz w:val="22"/>
          <w:szCs w:val="22"/>
        </w:rPr>
        <w:t xml:space="preserve">]. </w:t>
      </w:r>
      <w:r w:rsidRPr="004F0EA8">
        <w:rPr>
          <w:rFonts w:ascii="Ubuntu" w:hAnsi="Ubuntu"/>
          <w:sz w:val="22"/>
          <w:szCs w:val="22"/>
        </w:rPr>
        <w:t xml:space="preserve">The availability of COVID-19 vaccines must be accompanied by measures that prioritize the most vulnerable populations for access. </w:t>
      </w:r>
    </w:p>
    <w:p w14:paraId="5621B253" w14:textId="77777777" w:rsidR="004F0EA8" w:rsidRPr="004F0EA8" w:rsidRDefault="004224C7" w:rsidP="004F0EA8">
      <w:pPr>
        <w:spacing w:line="240" w:lineRule="auto"/>
        <w:rPr>
          <w:rFonts w:ascii="Ubuntu" w:hAnsi="Ubuntu"/>
          <w:sz w:val="22"/>
          <w:szCs w:val="22"/>
        </w:rPr>
      </w:pPr>
      <w:r w:rsidRPr="004F0EA8">
        <w:rPr>
          <w:rFonts w:ascii="Ubuntu" w:hAnsi="Ubuntu"/>
          <w:sz w:val="22"/>
          <w:szCs w:val="22"/>
        </w:rPr>
        <w:t xml:space="preserve">A number of states—including Delaware, Maryland, Missouri, and New York—have already prioritized people with </w:t>
      </w:r>
      <w:r w:rsidR="004F0EA8" w:rsidRPr="004F0EA8">
        <w:rPr>
          <w:rFonts w:ascii="Ubuntu" w:hAnsi="Ubuntu"/>
          <w:sz w:val="22"/>
          <w:szCs w:val="22"/>
        </w:rPr>
        <w:t>ID</w:t>
      </w:r>
      <w:r w:rsidRPr="004F0EA8">
        <w:rPr>
          <w:rFonts w:ascii="Ubuntu" w:hAnsi="Ubuntu"/>
          <w:sz w:val="22"/>
          <w:szCs w:val="22"/>
        </w:rPr>
        <w:t xml:space="preserve"> in their state vaccination plans. I urge [</w:t>
      </w:r>
      <w:r w:rsidRPr="004F0EA8">
        <w:rPr>
          <w:rFonts w:ascii="Ubuntu" w:hAnsi="Ubuntu"/>
          <w:sz w:val="22"/>
          <w:szCs w:val="22"/>
          <w:highlight w:val="yellow"/>
        </w:rPr>
        <w:t>actor name: you / the government of State / the health department of State</w:t>
      </w:r>
      <w:r w:rsidRPr="004F0EA8">
        <w:rPr>
          <w:rFonts w:ascii="Ubuntu" w:hAnsi="Ubuntu"/>
          <w:sz w:val="22"/>
          <w:szCs w:val="22"/>
        </w:rPr>
        <w:t>] to take similar action in [</w:t>
      </w:r>
      <w:r w:rsidRPr="004F0EA8">
        <w:rPr>
          <w:rFonts w:ascii="Ubuntu" w:hAnsi="Ubuntu"/>
          <w:sz w:val="22"/>
          <w:szCs w:val="22"/>
          <w:highlight w:val="yellow"/>
        </w:rPr>
        <w:t>State</w:t>
      </w:r>
      <w:r w:rsidRPr="004F0EA8">
        <w:rPr>
          <w:rFonts w:ascii="Ubuntu" w:hAnsi="Ubuntu"/>
          <w:sz w:val="22"/>
          <w:szCs w:val="22"/>
        </w:rPr>
        <w:t xml:space="preserve">]. </w:t>
      </w:r>
    </w:p>
    <w:p w14:paraId="29E52C4A" w14:textId="77777777" w:rsidR="004F0EA8" w:rsidRDefault="004F0EA8" w:rsidP="004F0EA8">
      <w:pPr>
        <w:spacing w:line="240" w:lineRule="auto"/>
        <w:rPr>
          <w:rFonts w:ascii="Ubuntu" w:hAnsi="Ubuntu" w:cstheme="minorHAnsi"/>
          <w:sz w:val="22"/>
          <w:szCs w:val="22"/>
        </w:rPr>
      </w:pPr>
    </w:p>
    <w:p w14:paraId="63A1E310" w14:textId="77777777" w:rsidR="004F0EA8" w:rsidRDefault="004F0EA8" w:rsidP="004F0EA8">
      <w:pPr>
        <w:spacing w:line="240" w:lineRule="auto"/>
        <w:rPr>
          <w:rFonts w:ascii="Ubuntu" w:hAnsi="Ubuntu" w:cstheme="minorHAnsi"/>
          <w:sz w:val="22"/>
          <w:szCs w:val="22"/>
        </w:rPr>
      </w:pPr>
    </w:p>
    <w:p w14:paraId="6D9A6DC1" w14:textId="77777777" w:rsidR="004F0EA8" w:rsidRDefault="004F0EA8" w:rsidP="004F0EA8">
      <w:pPr>
        <w:spacing w:line="240" w:lineRule="auto"/>
        <w:rPr>
          <w:rFonts w:ascii="Ubuntu" w:hAnsi="Ubuntu" w:cstheme="minorHAnsi"/>
          <w:sz w:val="22"/>
          <w:szCs w:val="22"/>
        </w:rPr>
      </w:pPr>
    </w:p>
    <w:p w14:paraId="6983D11A" w14:textId="714134FB" w:rsidR="004224C7" w:rsidRPr="004F0EA8" w:rsidRDefault="004224C7" w:rsidP="004F0EA8">
      <w:pPr>
        <w:spacing w:line="240" w:lineRule="auto"/>
        <w:rPr>
          <w:rFonts w:ascii="Ubuntu" w:eastAsia="Arial" w:hAnsi="Ubuntu" w:cstheme="minorHAnsi"/>
          <w:color w:val="000000" w:themeColor="text1"/>
          <w:sz w:val="22"/>
          <w:szCs w:val="22"/>
        </w:rPr>
      </w:pPr>
      <w:r w:rsidRPr="004F0EA8">
        <w:rPr>
          <w:rFonts w:ascii="Ubuntu" w:hAnsi="Ubuntu" w:cstheme="minorHAnsi"/>
          <w:sz w:val="22"/>
          <w:szCs w:val="22"/>
        </w:rPr>
        <w:t xml:space="preserve">Please consider Special Olympics an ally, a partner, and a resource in efforts to reach </w:t>
      </w:r>
      <w:r w:rsidR="00823D4A" w:rsidRPr="004F0EA8">
        <w:rPr>
          <w:rFonts w:ascii="Ubuntu" w:hAnsi="Ubuntu" w:cstheme="minorHAnsi"/>
          <w:sz w:val="22"/>
          <w:szCs w:val="22"/>
        </w:rPr>
        <w:t>people with ID</w:t>
      </w:r>
      <w:r w:rsidRPr="004F0EA8">
        <w:rPr>
          <w:rFonts w:ascii="Ubuntu" w:hAnsi="Ubuntu" w:cstheme="minorHAnsi"/>
          <w:sz w:val="22"/>
          <w:szCs w:val="22"/>
        </w:rPr>
        <w:t xml:space="preserve">. Our experience includes a proven record of accomplishment in collaboration with public and private health authorities at the federal, state, and local levels, including the U.S. Department of Health and Human Services (HHS) and the Centers for Disease Control and Prevention (CDC). </w:t>
      </w:r>
      <w:r w:rsidRPr="004F0EA8">
        <w:rPr>
          <w:rFonts w:ascii="Ubuntu" w:eastAsia="Arial" w:hAnsi="Ubuntu" w:cstheme="minorHAnsi"/>
          <w:color w:val="000000" w:themeColor="text1"/>
          <w:sz w:val="22"/>
          <w:szCs w:val="22"/>
        </w:rPr>
        <w:t xml:space="preserve">Since 2016, the CDC has recognized Special Olympics as a National Center on Disability under cooperative agreement CDC-RFA-DD16-1602, entitled </w:t>
      </w:r>
      <w:r w:rsidRPr="004F0EA8">
        <w:rPr>
          <w:rFonts w:ascii="Ubuntu" w:eastAsia="Arial" w:hAnsi="Ubuntu" w:cstheme="minorHAnsi"/>
          <w:i/>
          <w:color w:val="000000" w:themeColor="text1"/>
          <w:sz w:val="22"/>
          <w:szCs w:val="22"/>
        </w:rPr>
        <w:t>National Centers on Health Promotion for People with Disabilities</w:t>
      </w:r>
      <w:r w:rsidRPr="004F0EA8">
        <w:rPr>
          <w:rFonts w:ascii="Ubuntu" w:eastAsia="Arial" w:hAnsi="Ubuntu" w:cstheme="minorHAnsi"/>
          <w:color w:val="000000" w:themeColor="text1"/>
          <w:sz w:val="22"/>
          <w:szCs w:val="22"/>
        </w:rPr>
        <w:t xml:space="preserve">. </w:t>
      </w:r>
    </w:p>
    <w:p w14:paraId="1C4BD7AC" w14:textId="501AD111" w:rsidR="00FC0C0A" w:rsidRPr="004F0EA8" w:rsidRDefault="004224C7" w:rsidP="004F0EA8">
      <w:pPr>
        <w:pStyle w:val="CommentText"/>
        <w:rPr>
          <w:rFonts w:ascii="Ubuntu" w:hAnsi="Ubuntu" w:cstheme="minorHAnsi"/>
          <w:sz w:val="22"/>
          <w:szCs w:val="22"/>
        </w:rPr>
      </w:pPr>
      <w:r w:rsidRPr="004F0EA8">
        <w:rPr>
          <w:rFonts w:ascii="Ubuntu" w:hAnsi="Ubuntu" w:cstheme="minorHAnsi"/>
          <w:sz w:val="22"/>
          <w:szCs w:val="22"/>
        </w:rPr>
        <w:t>We have expertise providing health education and promotion activities</w:t>
      </w:r>
      <w:r w:rsidR="00823D4A" w:rsidRPr="004F0EA8">
        <w:rPr>
          <w:rFonts w:ascii="Ubuntu" w:hAnsi="Ubuntu" w:cstheme="minorHAnsi"/>
          <w:sz w:val="22"/>
          <w:szCs w:val="22"/>
        </w:rPr>
        <w:t xml:space="preserve"> to children and adults with ID</w:t>
      </w:r>
      <w:r w:rsidRPr="004F0EA8">
        <w:rPr>
          <w:rFonts w:ascii="Ubuntu" w:hAnsi="Ubuntu" w:cstheme="minorHAnsi"/>
          <w:sz w:val="22"/>
          <w:szCs w:val="22"/>
        </w:rPr>
        <w:t xml:space="preserve"> and their families and have developed educational materials about the COVID-19 vaccine that are accessible to this population and responsive to their concerns. We also possess a strong record of hosting health screening events that eliminate many barriers to care that this population faces by bringing together partners to create fun, friendly, inclusive and free provision of health care—ideal administration sites for the COVID-19 vaccine.  Some families of people with </w:t>
      </w:r>
      <w:r w:rsidR="004F0EA8">
        <w:rPr>
          <w:rFonts w:ascii="Ubuntu" w:hAnsi="Ubuntu" w:cstheme="minorHAnsi"/>
          <w:sz w:val="22"/>
          <w:szCs w:val="22"/>
        </w:rPr>
        <w:t>intellectual and developmental disabilities</w:t>
      </w:r>
      <w:r w:rsidRPr="004F0EA8">
        <w:rPr>
          <w:rFonts w:ascii="Ubuntu" w:hAnsi="Ubuntu" w:cstheme="minorHAnsi"/>
          <w:sz w:val="22"/>
          <w:szCs w:val="22"/>
        </w:rPr>
        <w:t>, particularly those with Autism Spectrum Disorder (ASD), have demonstrated hesitance around vaccination more generally.</w:t>
      </w:r>
      <w:r w:rsidRPr="004F0EA8">
        <w:rPr>
          <w:rStyle w:val="FootnoteReference"/>
          <w:rFonts w:ascii="Ubuntu" w:hAnsi="Ubuntu" w:cstheme="minorHAnsi"/>
          <w:sz w:val="22"/>
          <w:szCs w:val="22"/>
        </w:rPr>
        <w:footnoteReference w:id="8"/>
      </w:r>
      <w:r w:rsidRPr="004F0EA8">
        <w:rPr>
          <w:rFonts w:ascii="Ubuntu" w:hAnsi="Ubuntu" w:cstheme="minorHAnsi"/>
          <w:sz w:val="22"/>
          <w:szCs w:val="22"/>
        </w:rPr>
        <w:t xml:space="preserve"> Special Olympics is a trusted organization and may be able to increase COVID-19 vac</w:t>
      </w:r>
      <w:r w:rsidR="00823D4A" w:rsidRPr="004F0EA8">
        <w:rPr>
          <w:rFonts w:ascii="Ubuntu" w:hAnsi="Ubuntu" w:cstheme="minorHAnsi"/>
          <w:sz w:val="22"/>
          <w:szCs w:val="22"/>
        </w:rPr>
        <w:t>cine uptake among those with ID</w:t>
      </w:r>
      <w:r w:rsidRPr="004F0EA8">
        <w:rPr>
          <w:rFonts w:ascii="Ubuntu" w:hAnsi="Ubuntu" w:cstheme="minorHAnsi"/>
          <w:sz w:val="22"/>
          <w:szCs w:val="22"/>
        </w:rPr>
        <w:t xml:space="preserve">, helping extend protection in the community. We stand ready to use our health promotion activities and health screening events in support of health equity in distribution and administration of the COVID-19 vaccine. </w:t>
      </w:r>
    </w:p>
    <w:p w14:paraId="0AB7001E" w14:textId="77777777" w:rsidR="004224C7" w:rsidRPr="004F0EA8" w:rsidRDefault="004224C7" w:rsidP="00FC0C0A">
      <w:pPr>
        <w:pStyle w:val="CommentText"/>
        <w:spacing w:after="0"/>
        <w:rPr>
          <w:rFonts w:ascii="Ubuntu" w:hAnsi="Ubuntu"/>
          <w:sz w:val="22"/>
          <w:szCs w:val="22"/>
        </w:rPr>
      </w:pPr>
      <w:r w:rsidRPr="004F0EA8">
        <w:rPr>
          <w:rFonts w:ascii="Ubuntu" w:hAnsi="Ubuntu"/>
          <w:sz w:val="22"/>
          <w:szCs w:val="22"/>
        </w:rPr>
        <w:t>If Special Olympics can be of assistance, please feel free to reach out to me at [</w:t>
      </w:r>
      <w:r w:rsidRPr="004F0EA8">
        <w:rPr>
          <w:rFonts w:ascii="Ubuntu" w:hAnsi="Ubuntu"/>
          <w:sz w:val="22"/>
          <w:szCs w:val="22"/>
          <w:highlight w:val="yellow"/>
        </w:rPr>
        <w:t>CONTACT INFORMATION</w:t>
      </w:r>
      <w:r w:rsidRPr="004F0EA8">
        <w:rPr>
          <w:rFonts w:ascii="Ubuntu" w:hAnsi="Ubuntu"/>
          <w:sz w:val="22"/>
          <w:szCs w:val="22"/>
        </w:rPr>
        <w:t>]. We would welcome the opportunity to collaborate with you (or your designees) as we work to stop the spread of COVID-19.</w:t>
      </w:r>
    </w:p>
    <w:p w14:paraId="298C42B6" w14:textId="77777777" w:rsidR="004224C7" w:rsidRPr="004224C7" w:rsidRDefault="004224C7" w:rsidP="004224C7">
      <w:pPr>
        <w:spacing w:after="120"/>
        <w:rPr>
          <w:rFonts w:ascii="Ubuntu" w:hAnsi="Ubuntu" w:cstheme="minorHAnsi"/>
        </w:rPr>
      </w:pPr>
    </w:p>
    <w:p w14:paraId="04E80DDC" w14:textId="77777777" w:rsidR="004224C7" w:rsidRPr="004F0EA8" w:rsidRDefault="004224C7" w:rsidP="004224C7">
      <w:pPr>
        <w:spacing w:after="120"/>
        <w:rPr>
          <w:rFonts w:ascii="Ubuntu" w:hAnsi="Ubuntu" w:cstheme="minorHAnsi"/>
          <w:sz w:val="22"/>
          <w:szCs w:val="22"/>
        </w:rPr>
      </w:pPr>
      <w:r w:rsidRPr="004F0EA8">
        <w:rPr>
          <w:rFonts w:ascii="Ubuntu" w:hAnsi="Ubuntu" w:cstheme="minorHAnsi"/>
          <w:sz w:val="22"/>
          <w:szCs w:val="22"/>
        </w:rPr>
        <w:t>Sincerely,</w:t>
      </w:r>
      <w:bookmarkStart w:id="0" w:name="_GoBack"/>
      <w:bookmarkEnd w:id="0"/>
    </w:p>
    <w:p w14:paraId="1F10B15E" w14:textId="77777777" w:rsidR="009A339D" w:rsidRPr="004F0EA8" w:rsidRDefault="009A339D" w:rsidP="004224C7">
      <w:pPr>
        <w:spacing w:after="120"/>
        <w:rPr>
          <w:rFonts w:ascii="Ubuntu" w:hAnsi="Ubuntu" w:cstheme="minorHAnsi"/>
          <w:sz w:val="22"/>
          <w:szCs w:val="22"/>
        </w:rPr>
      </w:pPr>
    </w:p>
    <w:p w14:paraId="4F478C9A" w14:textId="08C595CE" w:rsidR="004224C7" w:rsidRPr="004F0EA8" w:rsidRDefault="004224C7" w:rsidP="004224C7">
      <w:pPr>
        <w:spacing w:after="120"/>
        <w:rPr>
          <w:rFonts w:ascii="Ubuntu" w:hAnsi="Ubuntu" w:cstheme="minorHAnsi"/>
          <w:sz w:val="22"/>
          <w:szCs w:val="22"/>
          <w:highlight w:val="yellow"/>
        </w:rPr>
      </w:pPr>
      <w:r w:rsidRPr="004F0EA8">
        <w:rPr>
          <w:rFonts w:ascii="Ubuntu" w:hAnsi="Ubuntu" w:cstheme="minorHAnsi"/>
          <w:sz w:val="22"/>
          <w:szCs w:val="22"/>
          <w:highlight w:val="yellow"/>
        </w:rPr>
        <w:t>SIGNATURE</w:t>
      </w:r>
    </w:p>
    <w:p w14:paraId="06E9C4B1" w14:textId="77777777" w:rsidR="004224C7" w:rsidRPr="004F0EA8" w:rsidRDefault="004224C7" w:rsidP="004224C7">
      <w:pPr>
        <w:spacing w:after="120"/>
        <w:rPr>
          <w:rFonts w:ascii="Ubuntu" w:hAnsi="Ubuntu" w:cstheme="minorHAnsi"/>
          <w:sz w:val="22"/>
          <w:szCs w:val="22"/>
        </w:rPr>
      </w:pPr>
      <w:r w:rsidRPr="004F0EA8">
        <w:rPr>
          <w:rFonts w:ascii="Ubuntu" w:hAnsi="Ubuntu" w:cstheme="minorHAnsi"/>
          <w:sz w:val="22"/>
          <w:szCs w:val="22"/>
          <w:highlight w:val="yellow"/>
        </w:rPr>
        <w:t>TITLE</w:t>
      </w:r>
    </w:p>
    <w:p w14:paraId="08AA6043" w14:textId="683FEF97" w:rsidR="00AE7A19" w:rsidRPr="004F0EA8" w:rsidRDefault="004224C7" w:rsidP="009A339D">
      <w:pPr>
        <w:spacing w:after="120"/>
        <w:rPr>
          <w:rFonts w:ascii="Ubuntu" w:hAnsi="Ubuntu" w:cstheme="minorHAnsi"/>
          <w:sz w:val="22"/>
          <w:szCs w:val="22"/>
        </w:rPr>
      </w:pPr>
      <w:r w:rsidRPr="004F0EA8">
        <w:rPr>
          <w:rFonts w:ascii="Ubuntu" w:hAnsi="Ubuntu" w:cstheme="minorHAnsi"/>
          <w:b/>
          <w:color w:val="FF0000"/>
          <w:sz w:val="22"/>
          <w:szCs w:val="22"/>
          <w:highlight w:val="yellow"/>
          <w:u w:val="single"/>
        </w:rPr>
        <w:t>DELETE BEFORE SENDING:</w:t>
      </w:r>
      <w:r w:rsidRPr="004F0EA8">
        <w:rPr>
          <w:rFonts w:ascii="Ubuntu" w:hAnsi="Ubuntu" w:cstheme="minorHAnsi"/>
          <w:color w:val="FF0000"/>
          <w:sz w:val="22"/>
          <w:szCs w:val="22"/>
        </w:rPr>
        <w:t xml:space="preserve"> </w:t>
      </w:r>
      <w:r w:rsidRPr="004F0EA8">
        <w:rPr>
          <w:rFonts w:ascii="Ubuntu" w:hAnsi="Ubuntu" w:cstheme="minorHAnsi"/>
          <w:color w:val="FF0000"/>
          <w:sz w:val="22"/>
          <w:szCs w:val="22"/>
          <w:highlight w:val="yellow"/>
        </w:rPr>
        <w:t>Note: SOI may be able to coordinate the addition of the signature(s) of Tim Shriver, Mary Davis, and/or Alicia Bazzano added upon request.</w:t>
      </w:r>
    </w:p>
    <w:sectPr w:rsidR="00AE7A19" w:rsidRPr="004F0EA8" w:rsidSect="00E25D14">
      <w:headerReference w:type="default" r:id="rId8"/>
      <w:footerReference w:type="even" r:id="rId9"/>
      <w:footerReference w:type="default" r:id="rId10"/>
      <w:headerReference w:type="first" r:id="rId11"/>
      <w:footerReference w:type="first" r:id="rId12"/>
      <w:pgSz w:w="12242" w:h="15842"/>
      <w:pgMar w:top="2381" w:right="1247" w:bottom="1588" w:left="1247" w:header="709" w:footer="39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96EDC" w14:textId="77777777" w:rsidR="00E77D81" w:rsidRDefault="00E77D81" w:rsidP="00E93292">
      <w:r>
        <w:separator/>
      </w:r>
    </w:p>
  </w:endnote>
  <w:endnote w:type="continuationSeparator" w:id="0">
    <w:p w14:paraId="3C3063FF" w14:textId="77777777" w:rsidR="00E77D81" w:rsidRDefault="00E77D81"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buntu Light">
    <w:altName w:val="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Ubuntu Italic">
    <w:panose1 w:val="020B05040306020A0204"/>
    <w:charset w:val="00"/>
    <w:family w:val="swiss"/>
    <w:pitch w:val="variable"/>
    <w:sig w:usb0="E00002FF" w:usb1="5000205B" w:usb2="00000000" w:usb3="00000000" w:csb0="0000009F" w:csb1="00000000"/>
  </w:font>
  <w:font w:name="Lucida Grande">
    <w:altName w:val="Arial"/>
    <w:charset w:val="00"/>
    <w:family w:val="swiss"/>
    <w:pitch w:val="variable"/>
    <w:sig w:usb0="E1000AEF" w:usb1="5000A1FF" w:usb2="00000000" w:usb3="00000000" w:csb0="000001BF" w:csb1="00000000"/>
  </w:font>
  <w:font w:name="Ubuntu Bold">
    <w:panose1 w:val="020B0804030602030204"/>
    <w:charset w:val="00"/>
    <w:family w:val="swiss"/>
    <w:pitch w:val="variable"/>
    <w:sig w:usb0="E00002FF" w:usb1="50002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DBF8" w14:textId="52CA986D" w:rsidR="00FF1F7B" w:rsidRDefault="00BD3073"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separate"/>
    </w:r>
    <w:r w:rsidR="00E25D14">
      <w:rPr>
        <w:rStyle w:val="PageNumber"/>
        <w:noProof/>
      </w:rPr>
      <w:t>2</w:t>
    </w:r>
    <w:r>
      <w:rPr>
        <w:rStyle w:val="PageNumber"/>
      </w:rPr>
      <w:fldChar w:fldCharType="end"/>
    </w:r>
  </w:p>
  <w:p w14:paraId="54C67928" w14:textId="77777777"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1324" w14:textId="08EE01C1" w:rsidR="00FF1F7B" w:rsidRPr="00544ED1" w:rsidRDefault="00BD3073" w:rsidP="00E93292">
    <w:pPr>
      <w:pStyle w:val="Footer"/>
      <w:rPr>
        <w:color w:val="808080"/>
        <w:sz w:val="16"/>
        <w:szCs w:val="16"/>
      </w:rPr>
    </w:pPr>
    <w:r w:rsidRPr="00544ED1">
      <w:rPr>
        <w:rStyle w:val="PageNumber"/>
        <w:color w:val="808080"/>
        <w:sz w:val="16"/>
        <w:szCs w:val="16"/>
      </w:rPr>
      <w:fldChar w:fldCharType="begin"/>
    </w:r>
    <w:r w:rsidR="00FF1F7B" w:rsidRPr="00544ED1">
      <w:rPr>
        <w:rStyle w:val="PageNumber"/>
        <w:color w:val="808080"/>
        <w:sz w:val="16"/>
        <w:szCs w:val="16"/>
      </w:rPr>
      <w:instrText xml:space="preserve">PAGE  </w:instrText>
    </w:r>
    <w:r w:rsidRPr="00544ED1">
      <w:rPr>
        <w:rStyle w:val="PageNumber"/>
        <w:color w:val="808080"/>
        <w:sz w:val="16"/>
        <w:szCs w:val="16"/>
      </w:rPr>
      <w:fldChar w:fldCharType="separate"/>
    </w:r>
    <w:r w:rsidR="004F0EA8">
      <w:rPr>
        <w:rStyle w:val="PageNumber"/>
        <w:noProof/>
        <w:color w:val="808080"/>
        <w:sz w:val="16"/>
        <w:szCs w:val="16"/>
      </w:rPr>
      <w:t>2</w:t>
    </w:r>
    <w:r w:rsidRPr="00544ED1">
      <w:rPr>
        <w:rStyle w:val="PageNumber"/>
        <w:color w:val="808080"/>
        <w:sz w:val="16"/>
        <w:szCs w:val="16"/>
      </w:rPr>
      <w:fldChar w:fldCharType="end"/>
    </w:r>
    <w:r w:rsidR="00FF1F7B" w:rsidRPr="00544ED1">
      <w:rPr>
        <w:rStyle w:val="PageNumber"/>
        <w:color w:val="808080"/>
        <w:sz w:val="16"/>
        <w:szCs w:val="16"/>
      </w:rPr>
      <w:t xml:space="preserve">   </w:t>
    </w:r>
    <w:proofErr w:type="gramStart"/>
    <w:r w:rsidR="00FF1F7B" w:rsidRPr="00544ED1">
      <w:rPr>
        <w:rStyle w:val="PageNumber"/>
        <w:color w:val="4F5146"/>
        <w:sz w:val="16"/>
        <w:szCs w:val="16"/>
      </w:rPr>
      <w:t xml:space="preserve">|  </w:t>
    </w:r>
    <w:r w:rsidR="00FF1F7B" w:rsidRPr="00544ED1">
      <w:rPr>
        <w:color w:val="4F5146"/>
        <w:sz w:val="16"/>
        <w:szCs w:val="16"/>
      </w:rPr>
      <w:t>Special</w:t>
    </w:r>
    <w:proofErr w:type="gramEnd"/>
    <w:r w:rsidR="00FF1F7B" w:rsidRPr="00544ED1">
      <w:rPr>
        <w:color w:val="4F5146"/>
        <w:sz w:val="16"/>
        <w:szCs w:val="16"/>
      </w:rPr>
      <w:t xml:space="preserve"> Olympics</w:t>
    </w:r>
    <w:r w:rsidR="00AE7A19">
      <w:rPr>
        <w:color w:val="4F5146"/>
        <w:sz w:val="16"/>
        <w:szCs w:val="16"/>
      </w:rPr>
      <w:t xml:space="preserve"> Program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67F4" w14:textId="77777777" w:rsidR="00FF1F7B" w:rsidRDefault="00FF1F7B" w:rsidP="00800680">
    <w:pPr>
      <w:pStyle w:val="FooterAddressInfo"/>
      <w:rPr>
        <w:b/>
      </w:rPr>
    </w:pPr>
  </w:p>
  <w:p w14:paraId="78BADAB9" w14:textId="77777777" w:rsidR="00FF1F7B" w:rsidRDefault="00FF1F7B" w:rsidP="00800680">
    <w:pPr>
      <w:pStyle w:val="FooterAddressInfo"/>
      <w:rPr>
        <w:b/>
      </w:rPr>
    </w:pPr>
  </w:p>
  <w:p w14:paraId="3365D84E" w14:textId="77777777" w:rsidR="00FF1F7B" w:rsidRDefault="00FF1F7B" w:rsidP="00800680">
    <w:pPr>
      <w:pStyle w:val="FooterAddressInfo"/>
      <w:rPr>
        <w:b/>
      </w:rPr>
    </w:pPr>
  </w:p>
  <w:p w14:paraId="6527EDCB" w14:textId="77777777" w:rsidR="00FF1F7B" w:rsidRPr="00D21E0A" w:rsidRDefault="00AE7A19" w:rsidP="00800680">
    <w:pPr>
      <w:pStyle w:val="FooterAddressInfo"/>
      <w:rPr>
        <w:i/>
        <w:sz w:val="12"/>
        <w:szCs w:val="12"/>
      </w:rPr>
    </w:pPr>
    <w:r w:rsidRPr="00AE7A19">
      <w:t>Address line 1, Address line 2, City/County, Country</w:t>
    </w:r>
    <w:r>
      <w:rPr>
        <w:b/>
      </w:rPr>
      <w:t xml:space="preserve"> Tel </w:t>
    </w:r>
    <w:r w:rsidRPr="00AE7A19">
      <w:rPr>
        <w:b/>
      </w:rPr>
      <w:t xml:space="preserve">123 123 </w:t>
    </w:r>
    <w:proofErr w:type="gramStart"/>
    <w:r w:rsidRPr="00AE7A19">
      <w:rPr>
        <w:b/>
      </w:rPr>
      <w:t>1234</w:t>
    </w:r>
    <w:r>
      <w:rPr>
        <w:b/>
      </w:rPr>
      <w:t xml:space="preserve">  </w:t>
    </w:r>
    <w:r w:rsidR="00FF1F7B" w:rsidRPr="00544ED1">
      <w:rPr>
        <w:b/>
      </w:rPr>
      <w:t>www</w:t>
    </w:r>
    <w:r w:rsidR="00FF1F7B" w:rsidRPr="00D21E0A">
      <w:t>.</w:t>
    </w:r>
    <w:r w:rsidR="00FF1F7B">
      <w:t>specialolympics.org</w:t>
    </w:r>
    <w:proofErr w:type="gramEnd"/>
    <w:r w:rsidR="00FF1F7B">
      <w:t xml:space="preserve">  </w:t>
    </w:r>
  </w:p>
  <w:p w14:paraId="47DA6D32" w14:textId="77777777" w:rsidR="00FF1F7B" w:rsidRPr="00D21E0A" w:rsidRDefault="00FF1F7B" w:rsidP="00D21E0A">
    <w:pPr>
      <w:pStyle w:val="Footer"/>
      <w:spacing w:line="180" w:lineRule="exact"/>
      <w:rPr>
        <w:i/>
        <w:color w:val="46473E"/>
        <w:kern w:val="15"/>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97762" w14:textId="77777777" w:rsidR="00E77D81" w:rsidRDefault="00E77D81" w:rsidP="00E93292">
      <w:r>
        <w:separator/>
      </w:r>
    </w:p>
  </w:footnote>
  <w:footnote w:type="continuationSeparator" w:id="0">
    <w:p w14:paraId="6E166492" w14:textId="77777777" w:rsidR="00E77D81" w:rsidRDefault="00E77D81" w:rsidP="00E93292">
      <w:r>
        <w:continuationSeparator/>
      </w:r>
    </w:p>
  </w:footnote>
  <w:footnote w:id="1">
    <w:p w14:paraId="0CA04021" w14:textId="77777777" w:rsidR="004224C7" w:rsidRPr="00FC0C0A" w:rsidRDefault="004224C7" w:rsidP="009A339D">
      <w:pPr>
        <w:spacing w:after="0" w:line="240" w:lineRule="auto"/>
        <w:rPr>
          <w:rFonts w:ascii="Ubuntu" w:eastAsia="Times New Roman" w:hAnsi="Ubuntu"/>
          <w:sz w:val="16"/>
          <w:szCs w:val="16"/>
        </w:rPr>
      </w:pPr>
      <w:r w:rsidRPr="00FC0C0A">
        <w:rPr>
          <w:rStyle w:val="FootnoteReference"/>
          <w:rFonts w:ascii="Ubuntu" w:hAnsi="Ubuntu"/>
          <w:sz w:val="16"/>
          <w:szCs w:val="16"/>
        </w:rPr>
        <w:footnoteRef/>
      </w:r>
      <w:r w:rsidRPr="00FC0C0A">
        <w:rPr>
          <w:rFonts w:ascii="Ubuntu" w:hAnsi="Ubuntu"/>
          <w:sz w:val="16"/>
          <w:szCs w:val="16"/>
        </w:rPr>
        <w:t xml:space="preserve"> </w:t>
      </w:r>
      <w:r w:rsidRPr="00FC0C0A">
        <w:rPr>
          <w:rStyle w:val="normaltextrun"/>
          <w:rFonts w:ascii="Ubuntu" w:eastAsia="Times New Roman" w:hAnsi="Ubuntu"/>
          <w:sz w:val="16"/>
          <w:szCs w:val="16"/>
        </w:rPr>
        <w:t xml:space="preserve">FAIR Health, West Health Institute, Marty </w:t>
      </w:r>
      <w:proofErr w:type="spellStart"/>
      <w:r w:rsidRPr="00FC0C0A">
        <w:rPr>
          <w:rStyle w:val="normaltextrun"/>
          <w:rFonts w:ascii="Ubuntu" w:eastAsia="Times New Roman" w:hAnsi="Ubuntu"/>
          <w:sz w:val="16"/>
          <w:szCs w:val="16"/>
        </w:rPr>
        <w:t>Makary</w:t>
      </w:r>
      <w:proofErr w:type="spellEnd"/>
      <w:r w:rsidRPr="00FC0C0A">
        <w:rPr>
          <w:rStyle w:val="normaltextrun"/>
          <w:rFonts w:ascii="Ubuntu" w:eastAsia="Times New Roman" w:hAnsi="Ubuntu"/>
          <w:sz w:val="16"/>
          <w:szCs w:val="16"/>
        </w:rPr>
        <w:t>. Risk Factors for COVID-19 Mortality among Privately Insured Patients: A Claims Data Analysis. Fair Health, Inc. (11 Nov. 2020).</w:t>
      </w:r>
      <w:r w:rsidRPr="00FC0C0A">
        <w:rPr>
          <w:rStyle w:val="normaltextrun"/>
          <w:rFonts w:ascii="Ubuntu" w:eastAsia="Times New Roman" w:hAnsi="Ubuntu"/>
          <w:b/>
          <w:sz w:val="16"/>
          <w:szCs w:val="16"/>
        </w:rPr>
        <w:t xml:space="preserve"> </w:t>
      </w:r>
      <w:hyperlink r:id="rId1">
        <w:r w:rsidRPr="00FC0C0A">
          <w:rPr>
            <w:rFonts w:ascii="Ubuntu" w:eastAsia="Times New Roman" w:hAnsi="Ubuntu"/>
            <w:color w:val="1155CC"/>
            <w:sz w:val="16"/>
            <w:szCs w:val="16"/>
            <w:u w:val="single"/>
          </w:rPr>
          <w:t>https://s3.amazonaws.com/media2.fairhealth.org/whitepaper/asset/Risk%20Factors%20for%20COVID-19%20Mortality%20among%20Privately%20Insured%20Patients%20-%20A%20Claims%20Data%20Analysis%20-%20A%20FAIR%20Health%20White%20Paper.pdf</w:t>
        </w:r>
      </w:hyperlink>
      <w:r w:rsidRPr="00FC0C0A">
        <w:rPr>
          <w:rFonts w:ascii="Ubuntu" w:hAnsi="Ubuntu"/>
          <w:sz w:val="16"/>
          <w:szCs w:val="16"/>
        </w:rPr>
        <w:t>.</w:t>
      </w:r>
    </w:p>
  </w:footnote>
  <w:footnote w:id="2">
    <w:p w14:paraId="7AC8E6BC" w14:textId="77777777" w:rsidR="004224C7" w:rsidRPr="00277E12" w:rsidRDefault="004224C7" w:rsidP="009A339D">
      <w:pPr>
        <w:widowControl w:val="0"/>
        <w:spacing w:after="0" w:line="240" w:lineRule="auto"/>
        <w:rPr>
          <w:rFonts w:ascii="Ubuntu" w:hAnsi="Ubuntu"/>
          <w:sz w:val="16"/>
          <w:szCs w:val="16"/>
        </w:rPr>
      </w:pPr>
      <w:r w:rsidRPr="00FC0C0A">
        <w:rPr>
          <w:rStyle w:val="FootnoteReference"/>
          <w:rFonts w:ascii="Ubuntu" w:hAnsi="Ubuntu"/>
          <w:sz w:val="16"/>
          <w:szCs w:val="16"/>
        </w:rPr>
        <w:footnoteRef/>
      </w:r>
      <w:r w:rsidRPr="00FC0C0A">
        <w:rPr>
          <w:rFonts w:ascii="Ubuntu" w:hAnsi="Ubuntu"/>
          <w:sz w:val="16"/>
          <w:szCs w:val="16"/>
        </w:rPr>
        <w:t xml:space="preserve"> Braddock, D., Hemp, R., Tanis, E.S., et al</w:t>
      </w:r>
      <w:proofErr w:type="gramStart"/>
      <w:r w:rsidRPr="00FC0C0A">
        <w:rPr>
          <w:rFonts w:ascii="Ubuntu" w:hAnsi="Ubuntu"/>
          <w:sz w:val="16"/>
          <w:szCs w:val="16"/>
        </w:rPr>
        <w:t>.(</w:t>
      </w:r>
      <w:proofErr w:type="gramEnd"/>
      <w:r w:rsidRPr="00FC0C0A">
        <w:rPr>
          <w:rFonts w:ascii="Ubuntu" w:hAnsi="Ubuntu"/>
          <w:sz w:val="16"/>
          <w:szCs w:val="16"/>
        </w:rPr>
        <w:t>2017).</w:t>
      </w:r>
      <w:r w:rsidRPr="00FC0C0A">
        <w:rPr>
          <w:rFonts w:ascii="Ubuntu" w:hAnsi="Ubuntu"/>
          <w:i/>
          <w:iCs/>
          <w:sz w:val="16"/>
          <w:szCs w:val="16"/>
        </w:rPr>
        <w:t>The State of the States in Intellectual Disabilities: 2017</w:t>
      </w:r>
      <w:r w:rsidRPr="00FC0C0A">
        <w:rPr>
          <w:rFonts w:ascii="Ubuntu" w:hAnsi="Ubuntu"/>
          <w:sz w:val="16"/>
          <w:szCs w:val="16"/>
        </w:rPr>
        <w:t xml:space="preserve">. </w:t>
      </w:r>
      <w:proofErr w:type="spellStart"/>
      <w:r w:rsidRPr="00FC0C0A">
        <w:rPr>
          <w:rFonts w:ascii="Ubuntu" w:eastAsia="Times New Roman" w:hAnsi="Ubuntu"/>
          <w:sz w:val="16"/>
          <w:szCs w:val="16"/>
        </w:rPr>
        <w:t>Landes</w:t>
      </w:r>
      <w:proofErr w:type="spellEnd"/>
      <w:r w:rsidRPr="00FC0C0A">
        <w:rPr>
          <w:rFonts w:ascii="Ubuntu" w:eastAsia="Times New Roman" w:hAnsi="Ubuntu"/>
          <w:sz w:val="16"/>
          <w:szCs w:val="16"/>
        </w:rPr>
        <w:t xml:space="preserve">, S. D., Turk, M. A., Formica, M. K., McDonald, K. E., &amp; Stevens, J. D. (2020). COVID-19 outcomes among people with intellectual and developmental disability living in residential group homes in New York State. Disability and health journal, 13(4), 100969. </w:t>
      </w:r>
      <w:hyperlink r:id="rId2">
        <w:r w:rsidRPr="00FC0C0A">
          <w:rPr>
            <w:rFonts w:ascii="Ubuntu" w:eastAsia="Times New Roman" w:hAnsi="Ubuntu"/>
            <w:color w:val="1155CC"/>
            <w:sz w:val="16"/>
            <w:szCs w:val="16"/>
            <w:u w:val="single"/>
          </w:rPr>
          <w:t>https://doi.org/10.1016/j.dhjo.2020.100969</w:t>
        </w:r>
      </w:hyperlink>
    </w:p>
  </w:footnote>
  <w:footnote w:id="3">
    <w:p w14:paraId="0B8B735A" w14:textId="77777777" w:rsidR="00FC0C0A" w:rsidRPr="00A104AD" w:rsidRDefault="00FC0C0A" w:rsidP="00FC0C0A">
      <w:pPr>
        <w:pStyle w:val="FootnoteText"/>
        <w:rPr>
          <w:rFonts w:ascii="Ubuntu" w:hAnsi="Ubuntu" w:cs="Times New Roman"/>
          <w:sz w:val="16"/>
          <w:szCs w:val="16"/>
        </w:rPr>
      </w:pPr>
      <w:r w:rsidRPr="00A104AD">
        <w:rPr>
          <w:rStyle w:val="FootnoteReference"/>
          <w:rFonts w:ascii="Ubuntu" w:hAnsi="Ubuntu"/>
          <w:sz w:val="16"/>
          <w:szCs w:val="16"/>
        </w:rPr>
        <w:footnoteRef/>
      </w:r>
      <w:r w:rsidRPr="00A104AD">
        <w:rPr>
          <w:rFonts w:ascii="Ubuntu" w:hAnsi="Ubuntu"/>
          <w:sz w:val="16"/>
          <w:szCs w:val="16"/>
        </w:rPr>
        <w:t xml:space="preserve"> </w:t>
      </w:r>
      <w:proofErr w:type="spellStart"/>
      <w:r w:rsidRPr="00A104AD">
        <w:rPr>
          <w:rFonts w:ascii="Ubuntu" w:hAnsi="Ubuntu" w:cs="Times New Roman"/>
          <w:sz w:val="16"/>
          <w:szCs w:val="16"/>
        </w:rPr>
        <w:t>Cuypers</w:t>
      </w:r>
      <w:proofErr w:type="spellEnd"/>
      <w:r w:rsidRPr="00A104AD">
        <w:rPr>
          <w:rFonts w:ascii="Ubuntu" w:hAnsi="Ubuntu" w:cs="Times New Roman"/>
          <w:sz w:val="16"/>
          <w:szCs w:val="16"/>
        </w:rPr>
        <w:t xml:space="preserve">, M., </w:t>
      </w:r>
      <w:proofErr w:type="spellStart"/>
      <w:r w:rsidRPr="00A104AD">
        <w:rPr>
          <w:rFonts w:ascii="Ubuntu" w:hAnsi="Ubuntu" w:cs="Times New Roman"/>
          <w:sz w:val="16"/>
          <w:szCs w:val="16"/>
        </w:rPr>
        <w:t>Schalk</w:t>
      </w:r>
      <w:proofErr w:type="spellEnd"/>
      <w:r w:rsidRPr="00A104AD">
        <w:rPr>
          <w:rFonts w:ascii="Ubuntu" w:hAnsi="Ubuntu" w:cs="Times New Roman"/>
          <w:sz w:val="16"/>
          <w:szCs w:val="16"/>
        </w:rPr>
        <w:t xml:space="preserve">, B. W. M., </w:t>
      </w:r>
      <w:proofErr w:type="spellStart"/>
      <w:r w:rsidRPr="00A104AD">
        <w:rPr>
          <w:rFonts w:ascii="Ubuntu" w:hAnsi="Ubuntu" w:cs="Times New Roman"/>
          <w:sz w:val="16"/>
          <w:szCs w:val="16"/>
        </w:rPr>
        <w:t>Koks-Leensen</w:t>
      </w:r>
      <w:proofErr w:type="spellEnd"/>
      <w:r w:rsidRPr="00A104AD">
        <w:rPr>
          <w:rFonts w:ascii="Ubuntu" w:hAnsi="Ubuntu" w:cs="Times New Roman"/>
          <w:sz w:val="16"/>
          <w:szCs w:val="16"/>
        </w:rPr>
        <w:t xml:space="preserve">, M. C. J., </w:t>
      </w:r>
      <w:proofErr w:type="spellStart"/>
      <w:r w:rsidRPr="00A104AD">
        <w:rPr>
          <w:rFonts w:ascii="Ubuntu" w:hAnsi="Ubuntu" w:cs="Times New Roman"/>
          <w:sz w:val="16"/>
          <w:szCs w:val="16"/>
        </w:rPr>
        <w:t>Nägele</w:t>
      </w:r>
      <w:proofErr w:type="spellEnd"/>
      <w:r w:rsidRPr="00A104AD">
        <w:rPr>
          <w:rFonts w:ascii="Ubuntu" w:hAnsi="Ubuntu" w:cs="Times New Roman"/>
          <w:sz w:val="16"/>
          <w:szCs w:val="16"/>
        </w:rPr>
        <w:t xml:space="preserve">, M. E., Bakker-van </w:t>
      </w:r>
      <w:proofErr w:type="spellStart"/>
      <w:r w:rsidRPr="00A104AD">
        <w:rPr>
          <w:rFonts w:ascii="Ubuntu" w:hAnsi="Ubuntu" w:cs="Times New Roman"/>
          <w:sz w:val="16"/>
          <w:szCs w:val="16"/>
        </w:rPr>
        <w:t>Gijssel</w:t>
      </w:r>
      <w:proofErr w:type="spellEnd"/>
      <w:r w:rsidRPr="00A104AD">
        <w:rPr>
          <w:rFonts w:ascii="Ubuntu" w:hAnsi="Ubuntu" w:cs="Times New Roman"/>
          <w:sz w:val="16"/>
          <w:szCs w:val="16"/>
        </w:rPr>
        <w:t xml:space="preserve">, E. J., </w:t>
      </w:r>
      <w:proofErr w:type="spellStart"/>
      <w:r w:rsidRPr="00A104AD">
        <w:rPr>
          <w:rFonts w:ascii="Ubuntu" w:hAnsi="Ubuntu" w:cs="Times New Roman"/>
          <w:sz w:val="16"/>
          <w:szCs w:val="16"/>
        </w:rPr>
        <w:t>Naaldenberg</w:t>
      </w:r>
      <w:proofErr w:type="spellEnd"/>
      <w:r w:rsidRPr="00A104AD">
        <w:rPr>
          <w:rFonts w:ascii="Ubuntu" w:hAnsi="Ubuntu" w:cs="Times New Roman"/>
          <w:sz w:val="16"/>
          <w:szCs w:val="16"/>
        </w:rPr>
        <w:t xml:space="preserve">, J., </w:t>
      </w:r>
      <w:proofErr w:type="spellStart"/>
      <w:r w:rsidRPr="00A104AD">
        <w:rPr>
          <w:rFonts w:ascii="Ubuntu" w:hAnsi="Ubuntu" w:cs="Times New Roman"/>
          <w:sz w:val="16"/>
          <w:szCs w:val="16"/>
        </w:rPr>
        <w:t>Leusink</w:t>
      </w:r>
      <w:proofErr w:type="spellEnd"/>
      <w:r w:rsidRPr="00A104AD">
        <w:rPr>
          <w:rFonts w:ascii="Ubuntu" w:hAnsi="Ubuntu" w:cs="Times New Roman"/>
          <w:sz w:val="16"/>
          <w:szCs w:val="16"/>
        </w:rPr>
        <w:t xml:space="preserve">, G. L. (2020). </w:t>
      </w:r>
      <w:r w:rsidRPr="00A104AD">
        <w:rPr>
          <w:rFonts w:ascii="Ubuntu" w:hAnsi="Ubuntu" w:cs="Times New Roman"/>
          <w:bCs/>
          <w:sz w:val="16"/>
          <w:szCs w:val="16"/>
          <w:shd w:val="clear" w:color="auto" w:fill="FFFFFF"/>
        </w:rPr>
        <w:t>Mortality of people with intellectual disabilities during the 2017/2018 influenza epidemic in the Netherlands: potential implications for the COVID</w:t>
      </w:r>
      <w:r w:rsidRPr="00A104AD">
        <w:rPr>
          <w:rFonts w:ascii="Cambria Math" w:hAnsi="Cambria Math" w:cs="Cambria Math"/>
          <w:bCs/>
          <w:sz w:val="16"/>
          <w:szCs w:val="16"/>
          <w:shd w:val="clear" w:color="auto" w:fill="FFFFFF"/>
        </w:rPr>
        <w:t>‐</w:t>
      </w:r>
      <w:r w:rsidRPr="00A104AD">
        <w:rPr>
          <w:rFonts w:ascii="Ubuntu" w:hAnsi="Ubuntu" w:cs="Times New Roman"/>
          <w:bCs/>
          <w:sz w:val="16"/>
          <w:szCs w:val="16"/>
          <w:shd w:val="clear" w:color="auto" w:fill="FFFFFF"/>
        </w:rPr>
        <w:t xml:space="preserve">19 pandemic. </w:t>
      </w:r>
      <w:r w:rsidRPr="00A104AD">
        <w:rPr>
          <w:rFonts w:ascii="Ubuntu" w:hAnsi="Ubuntu" w:cs="Times New Roman"/>
          <w:bCs/>
          <w:i/>
          <w:sz w:val="16"/>
          <w:szCs w:val="16"/>
          <w:shd w:val="clear" w:color="auto" w:fill="FFFFFF"/>
        </w:rPr>
        <w:t>Journal of Intellectual Disability Research 64</w:t>
      </w:r>
      <w:r w:rsidRPr="00A104AD">
        <w:rPr>
          <w:rFonts w:ascii="Ubuntu" w:hAnsi="Ubuntu" w:cs="Times New Roman"/>
          <w:bCs/>
          <w:sz w:val="16"/>
          <w:szCs w:val="16"/>
          <w:shd w:val="clear" w:color="auto" w:fill="FFFFFF"/>
        </w:rPr>
        <w:t xml:space="preserve">(7). </w:t>
      </w:r>
      <w:hyperlink r:id="rId3" w:history="1">
        <w:r w:rsidRPr="00A104AD">
          <w:rPr>
            <w:rStyle w:val="Hyperlink"/>
            <w:sz w:val="16"/>
            <w:szCs w:val="16"/>
            <w:shd w:val="clear" w:color="auto" w:fill="FFFFFF"/>
          </w:rPr>
          <w:t>https://doi.org/10.1111/jir.12739</w:t>
        </w:r>
      </w:hyperlink>
      <w:r w:rsidRPr="00A104AD">
        <w:rPr>
          <w:rFonts w:ascii="Ubuntu" w:hAnsi="Ubuntu" w:cs="Times New Roman"/>
          <w:sz w:val="16"/>
          <w:szCs w:val="16"/>
        </w:rPr>
        <w:t xml:space="preserve">. </w:t>
      </w:r>
      <w:r w:rsidRPr="00A104AD">
        <w:rPr>
          <w:rFonts w:ascii="Ubuntu" w:hAnsi="Ubuntu" w:cs="Times New Roman"/>
          <w:sz w:val="16"/>
          <w:szCs w:val="16"/>
          <w:shd w:val="clear" w:color="auto" w:fill="FFFFFF"/>
        </w:rPr>
        <w:t xml:space="preserve">Hosking, F. J., Carey, I. M., Shah, S. M., Harris, T., </w:t>
      </w:r>
      <w:proofErr w:type="spellStart"/>
      <w:r w:rsidRPr="00A104AD">
        <w:rPr>
          <w:rFonts w:ascii="Ubuntu" w:hAnsi="Ubuntu" w:cs="Times New Roman"/>
          <w:sz w:val="16"/>
          <w:szCs w:val="16"/>
          <w:shd w:val="clear" w:color="auto" w:fill="FFFFFF"/>
        </w:rPr>
        <w:t>DeWilde</w:t>
      </w:r>
      <w:proofErr w:type="spellEnd"/>
      <w:r w:rsidRPr="00A104AD">
        <w:rPr>
          <w:rFonts w:ascii="Ubuntu" w:hAnsi="Ubuntu" w:cs="Times New Roman"/>
          <w:sz w:val="16"/>
          <w:szCs w:val="16"/>
          <w:shd w:val="clear" w:color="auto" w:fill="FFFFFF"/>
        </w:rPr>
        <w:t xml:space="preserve">, S., </w:t>
      </w:r>
      <w:proofErr w:type="spellStart"/>
      <w:r w:rsidRPr="00A104AD">
        <w:rPr>
          <w:rFonts w:ascii="Ubuntu" w:hAnsi="Ubuntu" w:cs="Times New Roman"/>
          <w:sz w:val="16"/>
          <w:szCs w:val="16"/>
          <w:shd w:val="clear" w:color="auto" w:fill="FFFFFF"/>
        </w:rPr>
        <w:t>Beighton</w:t>
      </w:r>
      <w:proofErr w:type="spellEnd"/>
      <w:r w:rsidRPr="00A104AD">
        <w:rPr>
          <w:rFonts w:ascii="Ubuntu" w:hAnsi="Ubuntu" w:cs="Times New Roman"/>
          <w:sz w:val="16"/>
          <w:szCs w:val="16"/>
          <w:shd w:val="clear" w:color="auto" w:fill="FFFFFF"/>
        </w:rPr>
        <w:t xml:space="preserve">, C., &amp; Cook, D. G. (2016). Mortality </w:t>
      </w:r>
      <w:proofErr w:type="gramStart"/>
      <w:r w:rsidRPr="00A104AD">
        <w:rPr>
          <w:rFonts w:ascii="Ubuntu" w:hAnsi="Ubuntu" w:cs="Times New Roman"/>
          <w:sz w:val="16"/>
          <w:szCs w:val="16"/>
          <w:shd w:val="clear" w:color="auto" w:fill="FFFFFF"/>
        </w:rPr>
        <w:t>Among</w:t>
      </w:r>
      <w:proofErr w:type="gramEnd"/>
      <w:r w:rsidRPr="00A104AD">
        <w:rPr>
          <w:rFonts w:ascii="Ubuntu" w:hAnsi="Ubuntu" w:cs="Times New Roman"/>
          <w:sz w:val="16"/>
          <w:szCs w:val="16"/>
          <w:shd w:val="clear" w:color="auto" w:fill="FFFFFF"/>
        </w:rPr>
        <w:t xml:space="preserve"> Adults With Intellectual Disability in England: Comparisons With the General Population. </w:t>
      </w:r>
      <w:r w:rsidRPr="00A104AD">
        <w:rPr>
          <w:rFonts w:ascii="Ubuntu" w:hAnsi="Ubuntu" w:cs="Times New Roman"/>
          <w:i/>
          <w:iCs/>
          <w:sz w:val="16"/>
          <w:szCs w:val="16"/>
          <w:shd w:val="clear" w:color="auto" w:fill="FFFFFF"/>
        </w:rPr>
        <w:t>American journal of public health</w:t>
      </w:r>
      <w:r w:rsidRPr="00A104AD">
        <w:rPr>
          <w:rFonts w:ascii="Ubuntu" w:hAnsi="Ubuntu" w:cs="Times New Roman"/>
          <w:sz w:val="16"/>
          <w:szCs w:val="16"/>
          <w:shd w:val="clear" w:color="auto" w:fill="FFFFFF"/>
        </w:rPr>
        <w:t>, </w:t>
      </w:r>
      <w:r w:rsidRPr="00A104AD">
        <w:rPr>
          <w:rFonts w:ascii="Ubuntu" w:hAnsi="Ubuntu" w:cs="Times New Roman"/>
          <w:i/>
          <w:iCs/>
          <w:sz w:val="16"/>
          <w:szCs w:val="16"/>
          <w:shd w:val="clear" w:color="auto" w:fill="FFFFFF"/>
        </w:rPr>
        <w:t>106</w:t>
      </w:r>
      <w:r w:rsidRPr="00A104AD">
        <w:rPr>
          <w:rFonts w:ascii="Ubuntu" w:hAnsi="Ubuntu" w:cs="Times New Roman"/>
          <w:sz w:val="16"/>
          <w:szCs w:val="16"/>
          <w:shd w:val="clear" w:color="auto" w:fill="FFFFFF"/>
        </w:rPr>
        <w:t xml:space="preserve">(8), 1483–1490. </w:t>
      </w:r>
      <w:hyperlink r:id="rId4" w:history="1">
        <w:r w:rsidRPr="00A104AD">
          <w:rPr>
            <w:rStyle w:val="Hyperlink"/>
            <w:sz w:val="16"/>
            <w:szCs w:val="16"/>
            <w:shd w:val="clear" w:color="auto" w:fill="FFFFFF"/>
          </w:rPr>
          <w:t>https://doi.org/10.2105/AJPH.2016.303240</w:t>
        </w:r>
      </w:hyperlink>
      <w:r w:rsidRPr="00A104AD">
        <w:rPr>
          <w:rFonts w:ascii="Ubuntu" w:hAnsi="Ubuntu" w:cs="Times New Roman"/>
          <w:color w:val="303030"/>
          <w:sz w:val="16"/>
          <w:szCs w:val="16"/>
          <w:shd w:val="clear" w:color="auto" w:fill="FFFFFF"/>
        </w:rPr>
        <w:t>.</w:t>
      </w:r>
    </w:p>
  </w:footnote>
  <w:footnote w:id="4">
    <w:p w14:paraId="686F9A85" w14:textId="25804E83" w:rsidR="004224C7" w:rsidRPr="00A104AD" w:rsidRDefault="004224C7" w:rsidP="004224C7">
      <w:pPr>
        <w:pStyle w:val="FootnoteText"/>
        <w:rPr>
          <w:rFonts w:ascii="Ubuntu" w:hAnsi="Ubuntu"/>
          <w:sz w:val="16"/>
          <w:szCs w:val="16"/>
        </w:rPr>
      </w:pPr>
      <w:r w:rsidRPr="00A104AD">
        <w:rPr>
          <w:rStyle w:val="FootnoteReference"/>
          <w:rFonts w:ascii="Ubuntu" w:hAnsi="Ubuntu"/>
          <w:sz w:val="16"/>
          <w:szCs w:val="16"/>
        </w:rPr>
        <w:footnoteRef/>
      </w:r>
      <w:r w:rsidRPr="00A104AD">
        <w:rPr>
          <w:rFonts w:ascii="Ubuntu" w:hAnsi="Ubuntu"/>
          <w:sz w:val="16"/>
          <w:szCs w:val="16"/>
        </w:rPr>
        <w:t xml:space="preserve"> </w:t>
      </w:r>
      <w:proofErr w:type="spellStart"/>
      <w:r w:rsidRPr="00A104AD">
        <w:rPr>
          <w:rFonts w:ascii="Ubuntu" w:hAnsi="Ubuntu" w:cs="Segoe UI"/>
          <w:color w:val="212121"/>
          <w:sz w:val="16"/>
          <w:szCs w:val="16"/>
          <w:shd w:val="clear" w:color="auto" w:fill="FFFFFF"/>
        </w:rPr>
        <w:t>Awortwe</w:t>
      </w:r>
      <w:proofErr w:type="spellEnd"/>
      <w:r w:rsidRPr="00A104AD">
        <w:rPr>
          <w:rFonts w:ascii="Ubuntu" w:hAnsi="Ubuntu" w:cs="Segoe UI"/>
          <w:color w:val="212121"/>
          <w:sz w:val="16"/>
          <w:szCs w:val="16"/>
          <w:shd w:val="clear" w:color="auto" w:fill="FFFFFF"/>
        </w:rPr>
        <w:t xml:space="preserve">, C., &amp; </w:t>
      </w:r>
      <w:proofErr w:type="spellStart"/>
      <w:r w:rsidRPr="00A104AD">
        <w:rPr>
          <w:rFonts w:ascii="Ubuntu" w:hAnsi="Ubuntu" w:cs="Segoe UI"/>
          <w:color w:val="212121"/>
          <w:sz w:val="16"/>
          <w:szCs w:val="16"/>
          <w:shd w:val="clear" w:color="auto" w:fill="FFFFFF"/>
        </w:rPr>
        <w:t>Cascorbi</w:t>
      </w:r>
      <w:proofErr w:type="spellEnd"/>
      <w:r w:rsidRPr="00A104AD">
        <w:rPr>
          <w:rFonts w:ascii="Ubuntu" w:hAnsi="Ubuntu" w:cs="Segoe UI"/>
          <w:color w:val="212121"/>
          <w:sz w:val="16"/>
          <w:szCs w:val="16"/>
          <w:shd w:val="clear" w:color="auto" w:fill="FFFFFF"/>
        </w:rPr>
        <w:t>, I. (2020). Meta-analysis on outcome-worsening comorbidities of COVID-19 and related potential drug-drug interactions. </w:t>
      </w:r>
      <w:r w:rsidRPr="00A104AD">
        <w:rPr>
          <w:rFonts w:ascii="Ubuntu" w:hAnsi="Ubuntu" w:cs="Segoe UI"/>
          <w:i/>
          <w:iCs/>
          <w:color w:val="212121"/>
          <w:sz w:val="16"/>
          <w:szCs w:val="16"/>
          <w:shd w:val="clear" w:color="auto" w:fill="FFFFFF"/>
        </w:rPr>
        <w:t>Pharmacological research</w:t>
      </w:r>
      <w:r w:rsidRPr="00A104AD">
        <w:rPr>
          <w:rFonts w:ascii="Ubuntu" w:hAnsi="Ubuntu" w:cs="Segoe UI"/>
          <w:color w:val="212121"/>
          <w:sz w:val="16"/>
          <w:szCs w:val="16"/>
          <w:shd w:val="clear" w:color="auto" w:fill="FFFFFF"/>
        </w:rPr>
        <w:t>, </w:t>
      </w:r>
      <w:r w:rsidRPr="00A104AD">
        <w:rPr>
          <w:rFonts w:ascii="Ubuntu" w:hAnsi="Ubuntu" w:cs="Segoe UI"/>
          <w:i/>
          <w:iCs/>
          <w:color w:val="212121"/>
          <w:sz w:val="16"/>
          <w:szCs w:val="16"/>
          <w:shd w:val="clear" w:color="auto" w:fill="FFFFFF"/>
        </w:rPr>
        <w:t>161</w:t>
      </w:r>
      <w:r w:rsidRPr="00A104AD">
        <w:rPr>
          <w:rFonts w:ascii="Ubuntu" w:hAnsi="Ubuntu" w:cs="Segoe UI"/>
          <w:color w:val="212121"/>
          <w:sz w:val="16"/>
          <w:szCs w:val="16"/>
          <w:shd w:val="clear" w:color="auto" w:fill="FFFFFF"/>
        </w:rPr>
        <w:t xml:space="preserve">, 105250. </w:t>
      </w:r>
      <w:hyperlink r:id="rId5" w:history="1">
        <w:r w:rsidRPr="00A104AD">
          <w:rPr>
            <w:rStyle w:val="Hyperlink"/>
            <w:rFonts w:cs="Segoe UI"/>
            <w:sz w:val="16"/>
            <w:szCs w:val="16"/>
            <w:shd w:val="clear" w:color="auto" w:fill="FFFFFF"/>
          </w:rPr>
          <w:t>https://doi.org/10.1016/j.phrs.2020.105250</w:t>
        </w:r>
      </w:hyperlink>
      <w:r w:rsidRPr="00A104AD">
        <w:rPr>
          <w:rFonts w:ascii="Ubuntu" w:hAnsi="Ubuntu" w:cs="Segoe UI"/>
          <w:color w:val="212121"/>
          <w:sz w:val="16"/>
          <w:szCs w:val="16"/>
          <w:shd w:val="clear" w:color="auto" w:fill="FFFFFF"/>
        </w:rPr>
        <w:t xml:space="preserve">. </w:t>
      </w:r>
      <w:r w:rsidRPr="00A104AD">
        <w:rPr>
          <w:rFonts w:ascii="Ubuntu" w:hAnsi="Ubuntu"/>
          <w:sz w:val="16"/>
          <w:szCs w:val="16"/>
        </w:rPr>
        <w:t xml:space="preserve">. Zhou, F., Yu, T., Du, R., </w:t>
      </w:r>
      <w:proofErr w:type="spellStart"/>
      <w:r w:rsidRPr="00A104AD">
        <w:rPr>
          <w:rFonts w:ascii="Ubuntu" w:hAnsi="Ubuntu"/>
          <w:sz w:val="16"/>
          <w:szCs w:val="16"/>
        </w:rPr>
        <w:t>Gan</w:t>
      </w:r>
      <w:proofErr w:type="spellEnd"/>
      <w:r w:rsidRPr="00A104AD">
        <w:rPr>
          <w:rFonts w:ascii="Ubuntu" w:hAnsi="Ubuntu"/>
          <w:sz w:val="16"/>
          <w:szCs w:val="16"/>
        </w:rPr>
        <w:t xml:space="preserve">, F., Liu, Y., Liu, Z., Xiang, J., Wang, Y., Song, B., </w:t>
      </w:r>
      <w:proofErr w:type="spellStart"/>
      <w:r w:rsidRPr="00A104AD">
        <w:rPr>
          <w:rFonts w:ascii="Ubuntu" w:hAnsi="Ubuntu"/>
          <w:sz w:val="16"/>
          <w:szCs w:val="16"/>
        </w:rPr>
        <w:t>Gu</w:t>
      </w:r>
      <w:proofErr w:type="spellEnd"/>
      <w:r w:rsidRPr="00A104AD">
        <w:rPr>
          <w:rFonts w:ascii="Ubuntu" w:hAnsi="Ubuntu"/>
          <w:sz w:val="16"/>
          <w:szCs w:val="16"/>
        </w:rPr>
        <w:t xml:space="preserve">, X., Guan, L., Wei, Y., Li, H., Wu, X., Xu, J., </w:t>
      </w:r>
      <w:proofErr w:type="spellStart"/>
      <w:r w:rsidRPr="00A104AD">
        <w:rPr>
          <w:rFonts w:ascii="Ubuntu" w:hAnsi="Ubuntu"/>
          <w:sz w:val="16"/>
          <w:szCs w:val="16"/>
        </w:rPr>
        <w:t>Tu</w:t>
      </w:r>
      <w:proofErr w:type="spellEnd"/>
      <w:r w:rsidRPr="00A104AD">
        <w:rPr>
          <w:rFonts w:ascii="Ubuntu" w:hAnsi="Ubuntu"/>
          <w:sz w:val="16"/>
          <w:szCs w:val="16"/>
        </w:rPr>
        <w:t>, S., Zhang, Y., Chen, H., Cao, B. (2020). Clinical course and risk factors for mortality of adult inpatients with COVID-19 in Wuhan, China: a retrospective cohort study.</w:t>
      </w:r>
      <w:r w:rsidRPr="00A104AD">
        <w:rPr>
          <w:rFonts w:ascii="Ubuntu" w:hAnsi="Ubuntu"/>
          <w:i/>
          <w:sz w:val="16"/>
          <w:szCs w:val="16"/>
        </w:rPr>
        <w:t xml:space="preserve"> The Lancet 395</w:t>
      </w:r>
      <w:r w:rsidRPr="00A104AD">
        <w:rPr>
          <w:rFonts w:ascii="Ubuntu" w:hAnsi="Ubuntu"/>
          <w:sz w:val="16"/>
          <w:szCs w:val="16"/>
        </w:rPr>
        <w:t xml:space="preserve">(10229), 1054-1062.  </w:t>
      </w:r>
      <w:hyperlink r:id="rId6" w:history="1">
        <w:r w:rsidRPr="00A104AD">
          <w:rPr>
            <w:rStyle w:val="Hyperlink"/>
            <w:sz w:val="16"/>
            <w:szCs w:val="16"/>
          </w:rPr>
          <w:t>https://doi.org/10.1016/S0140-6736(20)30566-3</w:t>
        </w:r>
      </w:hyperlink>
      <w:r w:rsidRPr="00A104AD">
        <w:rPr>
          <w:rFonts w:ascii="Ubuntu" w:hAnsi="Ubuntu"/>
          <w:sz w:val="16"/>
          <w:szCs w:val="16"/>
        </w:rPr>
        <w:t xml:space="preserve">. Guan, W., Liang, W., Zhao, Y., Liang, H., Chen, Z., Li, Y., Liu, X., Chen, R., Tang, C., Wang, T., </w:t>
      </w:r>
      <w:proofErr w:type="spellStart"/>
      <w:r w:rsidRPr="00A104AD">
        <w:rPr>
          <w:rFonts w:ascii="Ubuntu" w:hAnsi="Ubuntu"/>
          <w:sz w:val="16"/>
          <w:szCs w:val="16"/>
        </w:rPr>
        <w:t>Ou</w:t>
      </w:r>
      <w:proofErr w:type="spellEnd"/>
      <w:r w:rsidRPr="00A104AD">
        <w:rPr>
          <w:rFonts w:ascii="Ubuntu" w:hAnsi="Ubuntu"/>
          <w:sz w:val="16"/>
          <w:szCs w:val="16"/>
        </w:rPr>
        <w:t xml:space="preserve">, C., Li, L., Chen, P., Sang, L., Wang, W., Li, J., Li, C., </w:t>
      </w:r>
      <w:proofErr w:type="spellStart"/>
      <w:r w:rsidRPr="00A104AD">
        <w:rPr>
          <w:rFonts w:ascii="Ubuntu" w:hAnsi="Ubuntu"/>
          <w:sz w:val="16"/>
          <w:szCs w:val="16"/>
        </w:rPr>
        <w:t>Ou</w:t>
      </w:r>
      <w:proofErr w:type="spellEnd"/>
      <w:r w:rsidRPr="00A104AD">
        <w:rPr>
          <w:rFonts w:ascii="Ubuntu" w:hAnsi="Ubuntu"/>
          <w:sz w:val="16"/>
          <w:szCs w:val="16"/>
        </w:rPr>
        <w:t xml:space="preserve">, Li., Cheng, B., </w:t>
      </w:r>
      <w:proofErr w:type="spellStart"/>
      <w:r w:rsidRPr="00A104AD">
        <w:rPr>
          <w:rFonts w:ascii="Ubuntu" w:hAnsi="Ubuntu"/>
          <w:sz w:val="16"/>
          <w:szCs w:val="16"/>
        </w:rPr>
        <w:t>Xiong</w:t>
      </w:r>
      <w:proofErr w:type="spellEnd"/>
      <w:r w:rsidRPr="00A104AD">
        <w:rPr>
          <w:rFonts w:ascii="Ubuntu" w:hAnsi="Ubuntu"/>
          <w:sz w:val="16"/>
          <w:szCs w:val="16"/>
        </w:rPr>
        <w:t xml:space="preserve">, S., et al. (2020). Comorbidity and its impact on 1590 patients with Covid-19 in China: A Nationwide Analysis. </w:t>
      </w:r>
      <w:r w:rsidRPr="00A104AD">
        <w:rPr>
          <w:rFonts w:ascii="Ubuntu" w:hAnsi="Ubuntu"/>
          <w:i/>
          <w:sz w:val="16"/>
          <w:szCs w:val="16"/>
        </w:rPr>
        <w:t>European Respiratory Journal 55</w:t>
      </w:r>
      <w:r w:rsidRPr="00A104AD">
        <w:rPr>
          <w:rFonts w:ascii="Ubuntu" w:hAnsi="Ubuntu"/>
          <w:sz w:val="16"/>
          <w:szCs w:val="16"/>
        </w:rPr>
        <w:t xml:space="preserve">(5). </w:t>
      </w:r>
      <w:hyperlink r:id="rId7" w:history="1">
        <w:r w:rsidRPr="00A104AD">
          <w:rPr>
            <w:rStyle w:val="Hyperlink"/>
            <w:sz w:val="16"/>
            <w:szCs w:val="16"/>
          </w:rPr>
          <w:t>https://doi.org/</w:t>
        </w:r>
        <w:r w:rsidRPr="00A104AD">
          <w:rPr>
            <w:rStyle w:val="Hyperlink"/>
            <w:sz w:val="16"/>
            <w:szCs w:val="16"/>
            <w:shd w:val="clear" w:color="auto" w:fill="FFFFFF"/>
          </w:rPr>
          <w:t>10.1183/13993003.00547-2020</w:t>
        </w:r>
      </w:hyperlink>
      <w:r w:rsidRPr="00A104AD">
        <w:rPr>
          <w:rFonts w:ascii="Ubuntu" w:hAnsi="Ubuntu"/>
          <w:color w:val="000000"/>
          <w:sz w:val="16"/>
          <w:szCs w:val="16"/>
          <w:shd w:val="clear" w:color="auto" w:fill="FFFFFF"/>
        </w:rPr>
        <w:t xml:space="preserve">.  </w:t>
      </w:r>
      <w:r w:rsidRPr="00A104AD">
        <w:rPr>
          <w:rFonts w:ascii="Ubuntu" w:hAnsi="Ubuntu"/>
          <w:sz w:val="16"/>
          <w:szCs w:val="16"/>
        </w:rPr>
        <w:t xml:space="preserve"> </w:t>
      </w:r>
    </w:p>
  </w:footnote>
  <w:footnote w:id="5">
    <w:p w14:paraId="1C87E23F" w14:textId="77777777" w:rsidR="004224C7" w:rsidRPr="00A104AD" w:rsidRDefault="004224C7" w:rsidP="004224C7">
      <w:pPr>
        <w:pStyle w:val="FootnoteText"/>
        <w:rPr>
          <w:rFonts w:ascii="Ubuntu" w:hAnsi="Ubuntu"/>
          <w:sz w:val="16"/>
          <w:szCs w:val="16"/>
        </w:rPr>
      </w:pPr>
      <w:r w:rsidRPr="00A104AD">
        <w:rPr>
          <w:rStyle w:val="FootnoteReference"/>
          <w:rFonts w:ascii="Ubuntu" w:hAnsi="Ubuntu"/>
          <w:sz w:val="16"/>
          <w:szCs w:val="16"/>
        </w:rPr>
        <w:footnoteRef/>
      </w:r>
      <w:r w:rsidRPr="00A104AD">
        <w:rPr>
          <w:rFonts w:ascii="Ubuntu" w:hAnsi="Ubuntu"/>
          <w:sz w:val="16"/>
          <w:szCs w:val="16"/>
        </w:rPr>
        <w:t xml:space="preserve"> Harder + Company Community Research. A Blind Spot in the System: Health Care for People with Developmental Disabilities, Findings from Stakeholder Interviews (Sept. 2008). </w:t>
      </w:r>
      <w:hyperlink r:id="rId8" w:history="1">
        <w:r w:rsidRPr="00A104AD">
          <w:rPr>
            <w:rStyle w:val="Hyperlink"/>
            <w:sz w:val="16"/>
            <w:szCs w:val="16"/>
          </w:rPr>
          <w:t>https://odpc.ucsf.edu/sites/odpc.ucsf.edu/files/pdf_docs/A%20Blind%20Spot%20in%20the%20System.pdf</w:t>
        </w:r>
      </w:hyperlink>
      <w:r w:rsidRPr="00A104AD">
        <w:rPr>
          <w:rFonts w:ascii="Ubuntu" w:hAnsi="Ubuntu"/>
          <w:sz w:val="16"/>
          <w:szCs w:val="16"/>
        </w:rPr>
        <w:t xml:space="preserve">. </w:t>
      </w:r>
    </w:p>
  </w:footnote>
  <w:footnote w:id="6">
    <w:p w14:paraId="23FF3D04" w14:textId="77777777" w:rsidR="004224C7" w:rsidRPr="00A104AD" w:rsidRDefault="004224C7" w:rsidP="004224C7">
      <w:pPr>
        <w:pStyle w:val="FootnoteText"/>
        <w:rPr>
          <w:rFonts w:ascii="Ubuntu" w:hAnsi="Ubuntu" w:cstheme="minorHAnsi"/>
          <w:sz w:val="16"/>
          <w:szCs w:val="16"/>
        </w:rPr>
      </w:pPr>
      <w:r w:rsidRPr="00A104AD">
        <w:rPr>
          <w:rStyle w:val="FootnoteReference"/>
          <w:rFonts w:ascii="Ubuntu" w:hAnsi="Ubuntu" w:cstheme="minorHAnsi"/>
          <w:sz w:val="16"/>
          <w:szCs w:val="16"/>
        </w:rPr>
        <w:footnoteRef/>
      </w:r>
      <w:r w:rsidRPr="00A104AD">
        <w:rPr>
          <w:rFonts w:ascii="Ubuntu" w:hAnsi="Ubuntu" w:cstheme="minorHAnsi"/>
          <w:sz w:val="16"/>
          <w:szCs w:val="16"/>
        </w:rPr>
        <w:t xml:space="preserve"> </w:t>
      </w:r>
      <w:proofErr w:type="spellStart"/>
      <w:r w:rsidRPr="00A104AD">
        <w:rPr>
          <w:rFonts w:ascii="Ubuntu" w:hAnsi="Ubuntu" w:cstheme="minorHAnsi"/>
          <w:sz w:val="16"/>
          <w:szCs w:val="16"/>
        </w:rPr>
        <w:t>O'Dwyer</w:t>
      </w:r>
      <w:proofErr w:type="spellEnd"/>
      <w:r w:rsidRPr="00A104AD">
        <w:rPr>
          <w:rFonts w:ascii="Ubuntu" w:hAnsi="Ubuntu" w:cstheme="minorHAnsi"/>
          <w:sz w:val="16"/>
          <w:szCs w:val="16"/>
        </w:rPr>
        <w:t xml:space="preserve">, M., </w:t>
      </w:r>
      <w:proofErr w:type="spellStart"/>
      <w:r w:rsidRPr="00A104AD">
        <w:rPr>
          <w:rFonts w:ascii="Ubuntu" w:hAnsi="Ubuntu" w:cstheme="minorHAnsi"/>
          <w:sz w:val="16"/>
          <w:szCs w:val="16"/>
        </w:rPr>
        <w:t>Peklar</w:t>
      </w:r>
      <w:proofErr w:type="spellEnd"/>
      <w:r w:rsidRPr="00A104AD">
        <w:rPr>
          <w:rFonts w:ascii="Ubuntu" w:hAnsi="Ubuntu" w:cstheme="minorHAnsi"/>
          <w:sz w:val="16"/>
          <w:szCs w:val="16"/>
        </w:rPr>
        <w:t xml:space="preserve">, J., </w:t>
      </w:r>
      <w:proofErr w:type="spellStart"/>
      <w:r w:rsidRPr="00A104AD">
        <w:rPr>
          <w:rFonts w:ascii="Ubuntu" w:hAnsi="Ubuntu" w:cstheme="minorHAnsi"/>
          <w:sz w:val="16"/>
          <w:szCs w:val="16"/>
        </w:rPr>
        <w:t>McCallion</w:t>
      </w:r>
      <w:proofErr w:type="spellEnd"/>
      <w:r w:rsidRPr="00A104AD">
        <w:rPr>
          <w:rFonts w:ascii="Ubuntu" w:hAnsi="Ubuntu" w:cstheme="minorHAnsi"/>
          <w:sz w:val="16"/>
          <w:szCs w:val="16"/>
        </w:rPr>
        <w:t xml:space="preserve">, P., McCarron, M., &amp; Henman, M.C. (2016). Factors associated with polypharmacy and excessive polypharmacy in older people with intellectual disability differ from the general population: a cross-sectional observational nationwide study. </w:t>
      </w:r>
      <w:r w:rsidRPr="00A104AD">
        <w:rPr>
          <w:rFonts w:ascii="Ubuntu" w:hAnsi="Ubuntu" w:cstheme="minorHAnsi"/>
          <w:i/>
          <w:sz w:val="16"/>
          <w:szCs w:val="16"/>
        </w:rPr>
        <w:t>BMJ Open</w:t>
      </w:r>
      <w:r w:rsidRPr="00A104AD">
        <w:rPr>
          <w:rFonts w:ascii="Ubuntu" w:hAnsi="Ubuntu" w:cstheme="minorHAnsi"/>
          <w:sz w:val="16"/>
          <w:szCs w:val="16"/>
        </w:rPr>
        <w:t xml:space="preserve"> </w:t>
      </w:r>
      <w:r w:rsidRPr="00A104AD">
        <w:rPr>
          <w:rFonts w:ascii="Ubuntu" w:hAnsi="Ubuntu" w:cstheme="minorHAnsi"/>
          <w:i/>
          <w:sz w:val="16"/>
          <w:szCs w:val="16"/>
        </w:rPr>
        <w:t>6</w:t>
      </w:r>
      <w:r w:rsidRPr="00A104AD">
        <w:rPr>
          <w:rFonts w:ascii="Ubuntu" w:hAnsi="Ubuntu" w:cstheme="minorHAnsi"/>
          <w:sz w:val="16"/>
          <w:szCs w:val="16"/>
        </w:rPr>
        <w:t xml:space="preserve">(4). </w:t>
      </w:r>
      <w:hyperlink r:id="rId9" w:history="1">
        <w:r w:rsidRPr="00A104AD">
          <w:rPr>
            <w:rStyle w:val="Hyperlink"/>
            <w:rFonts w:cstheme="minorHAnsi"/>
            <w:sz w:val="16"/>
            <w:szCs w:val="16"/>
          </w:rPr>
          <w:t>https://doi.org/10.1136/bmjopen-2015-010505</w:t>
        </w:r>
      </w:hyperlink>
      <w:r w:rsidRPr="00A104AD">
        <w:rPr>
          <w:rFonts w:ascii="Ubuntu" w:hAnsi="Ubuntu" w:cstheme="minorHAnsi"/>
          <w:sz w:val="16"/>
          <w:szCs w:val="16"/>
        </w:rPr>
        <w:t xml:space="preserve">. Davis, S. (2016). Asthma in intellectual disability: are we managing our patients appropriately? </w:t>
      </w:r>
      <w:r w:rsidRPr="00A104AD">
        <w:rPr>
          <w:rFonts w:ascii="Ubuntu" w:hAnsi="Ubuntu" w:cstheme="minorHAnsi"/>
          <w:i/>
          <w:sz w:val="16"/>
          <w:szCs w:val="16"/>
        </w:rPr>
        <w:t>Breathe 12</w:t>
      </w:r>
      <w:r w:rsidRPr="00A104AD">
        <w:rPr>
          <w:rFonts w:ascii="Ubuntu" w:hAnsi="Ubuntu" w:cstheme="minorHAnsi"/>
          <w:sz w:val="16"/>
          <w:szCs w:val="16"/>
        </w:rPr>
        <w:t xml:space="preserve">(4), 310-317. </w:t>
      </w:r>
      <w:hyperlink r:id="rId10" w:history="1">
        <w:r w:rsidRPr="00A104AD">
          <w:rPr>
            <w:rStyle w:val="Hyperlink"/>
            <w:rFonts w:cstheme="minorHAnsi"/>
            <w:sz w:val="16"/>
            <w:szCs w:val="16"/>
            <w:shd w:val="clear" w:color="auto" w:fill="FFFFFF"/>
          </w:rPr>
          <w:t>https://doi.org/10.1183/20734735.014716</w:t>
        </w:r>
      </w:hyperlink>
      <w:r w:rsidRPr="00A104AD">
        <w:rPr>
          <w:rFonts w:ascii="Ubuntu" w:hAnsi="Ubuntu" w:cstheme="minorHAnsi"/>
          <w:color w:val="303030"/>
          <w:sz w:val="16"/>
          <w:szCs w:val="16"/>
          <w:shd w:val="clear" w:color="auto" w:fill="FFFFFF"/>
        </w:rPr>
        <w:t xml:space="preserve">. </w:t>
      </w:r>
      <w:proofErr w:type="spellStart"/>
      <w:r w:rsidRPr="00A104AD">
        <w:rPr>
          <w:rFonts w:ascii="Ubuntu" w:hAnsi="Ubuntu" w:cstheme="minorHAnsi"/>
          <w:color w:val="303030"/>
          <w:sz w:val="16"/>
          <w:szCs w:val="16"/>
          <w:shd w:val="clear" w:color="auto" w:fill="FFFFFF"/>
        </w:rPr>
        <w:t>Axmon</w:t>
      </w:r>
      <w:proofErr w:type="spellEnd"/>
      <w:r w:rsidRPr="00A104AD">
        <w:rPr>
          <w:rFonts w:ascii="Ubuntu" w:hAnsi="Ubuntu" w:cstheme="minorHAnsi"/>
          <w:color w:val="303030"/>
          <w:sz w:val="16"/>
          <w:szCs w:val="16"/>
          <w:shd w:val="clear" w:color="auto" w:fill="FFFFFF"/>
        </w:rPr>
        <w:t xml:space="preserve">, A., </w:t>
      </w:r>
      <w:proofErr w:type="spellStart"/>
      <w:r w:rsidRPr="00A104AD">
        <w:rPr>
          <w:rFonts w:ascii="Ubuntu" w:hAnsi="Ubuntu" w:cstheme="minorHAnsi"/>
          <w:color w:val="303030"/>
          <w:sz w:val="16"/>
          <w:szCs w:val="16"/>
          <w:shd w:val="clear" w:color="auto" w:fill="FFFFFF"/>
        </w:rPr>
        <w:t>Höglund</w:t>
      </w:r>
      <w:proofErr w:type="spellEnd"/>
      <w:r w:rsidRPr="00A104AD">
        <w:rPr>
          <w:rFonts w:ascii="Ubuntu" w:hAnsi="Ubuntu" w:cstheme="minorHAnsi"/>
          <w:color w:val="303030"/>
          <w:sz w:val="16"/>
          <w:szCs w:val="16"/>
          <w:shd w:val="clear" w:color="auto" w:fill="FFFFFF"/>
        </w:rPr>
        <w:t xml:space="preserve">, P., &amp; </w:t>
      </w:r>
      <w:proofErr w:type="spellStart"/>
      <w:r w:rsidRPr="00A104AD">
        <w:rPr>
          <w:rFonts w:ascii="Ubuntu" w:hAnsi="Ubuntu" w:cstheme="minorHAnsi"/>
          <w:color w:val="303030"/>
          <w:sz w:val="16"/>
          <w:szCs w:val="16"/>
          <w:shd w:val="clear" w:color="auto" w:fill="FFFFFF"/>
        </w:rPr>
        <w:t>Ahlström</w:t>
      </w:r>
      <w:proofErr w:type="spellEnd"/>
      <w:r w:rsidRPr="00A104AD">
        <w:rPr>
          <w:rFonts w:ascii="Ubuntu" w:hAnsi="Ubuntu" w:cstheme="minorHAnsi"/>
          <w:color w:val="303030"/>
          <w:sz w:val="16"/>
          <w:szCs w:val="16"/>
          <w:shd w:val="clear" w:color="auto" w:fill="FFFFFF"/>
        </w:rPr>
        <w:t xml:space="preserve">, G. (2017). Chronic Respiratory Disorders and Their Treatment among Older People with Intellectual Disability and/or Autism Spectrum Disorder in Comparison with the General Population. </w:t>
      </w:r>
      <w:r w:rsidRPr="00A104AD">
        <w:rPr>
          <w:rFonts w:ascii="Ubuntu" w:hAnsi="Ubuntu" w:cstheme="minorHAnsi"/>
          <w:i/>
          <w:color w:val="303030"/>
          <w:sz w:val="16"/>
          <w:szCs w:val="16"/>
          <w:shd w:val="clear" w:color="auto" w:fill="FFFFFF"/>
        </w:rPr>
        <w:t>Healthcare 5</w:t>
      </w:r>
      <w:r w:rsidRPr="00A104AD">
        <w:rPr>
          <w:rFonts w:ascii="Ubuntu" w:hAnsi="Ubuntu" w:cstheme="minorHAnsi"/>
          <w:color w:val="303030"/>
          <w:sz w:val="16"/>
          <w:szCs w:val="16"/>
          <w:shd w:val="clear" w:color="auto" w:fill="FFFFFF"/>
        </w:rPr>
        <w:t xml:space="preserve">(3), 40. </w:t>
      </w:r>
      <w:hyperlink r:id="rId11" w:history="1">
        <w:r w:rsidRPr="00A104AD">
          <w:rPr>
            <w:rStyle w:val="Hyperlink"/>
            <w:rFonts w:cstheme="minorHAnsi"/>
            <w:sz w:val="16"/>
            <w:szCs w:val="16"/>
            <w:shd w:val="clear" w:color="auto" w:fill="FFFFFF"/>
          </w:rPr>
          <w:t>https://doi.org/10.3390/healthcare5030040</w:t>
        </w:r>
      </w:hyperlink>
      <w:r w:rsidRPr="00A104AD">
        <w:rPr>
          <w:rFonts w:ascii="Ubuntu" w:hAnsi="Ubuntu" w:cstheme="minorHAnsi"/>
          <w:color w:val="303030"/>
          <w:sz w:val="16"/>
          <w:szCs w:val="16"/>
          <w:shd w:val="clear" w:color="auto" w:fill="FFFFFF"/>
        </w:rPr>
        <w:t xml:space="preserve">. </w:t>
      </w:r>
      <w:r w:rsidRPr="00A104AD">
        <w:rPr>
          <w:rFonts w:ascii="Ubuntu" w:hAnsi="Ubuntu" w:cstheme="minorHAnsi"/>
          <w:color w:val="000000"/>
          <w:sz w:val="16"/>
          <w:szCs w:val="16"/>
          <w:shd w:val="clear" w:color="auto" w:fill="FFFFFF"/>
        </w:rPr>
        <w:t xml:space="preserve">Stevens A., Courtney-Long E., Gillespie C., &amp; </w:t>
      </w:r>
      <w:proofErr w:type="spellStart"/>
      <w:r w:rsidRPr="00A104AD">
        <w:rPr>
          <w:rFonts w:ascii="Ubuntu" w:hAnsi="Ubuntu" w:cstheme="minorHAnsi"/>
          <w:color w:val="000000"/>
          <w:sz w:val="16"/>
          <w:szCs w:val="16"/>
          <w:shd w:val="clear" w:color="auto" w:fill="FFFFFF"/>
        </w:rPr>
        <w:t>Armour</w:t>
      </w:r>
      <w:proofErr w:type="spellEnd"/>
      <w:r w:rsidRPr="00A104AD">
        <w:rPr>
          <w:rFonts w:ascii="Ubuntu" w:hAnsi="Ubuntu" w:cstheme="minorHAnsi"/>
          <w:color w:val="000000"/>
          <w:sz w:val="16"/>
          <w:szCs w:val="16"/>
          <w:shd w:val="clear" w:color="auto" w:fill="FFFFFF"/>
        </w:rPr>
        <w:t xml:space="preserve"> B.S. (2014). Hypertension Among US Adults by Disability Status and Type, National Health and Nutrition Examination Survey, 2001–2010. </w:t>
      </w:r>
      <w:r w:rsidRPr="00A104AD">
        <w:rPr>
          <w:rFonts w:ascii="Ubuntu" w:hAnsi="Ubuntu" w:cstheme="minorHAnsi"/>
          <w:i/>
          <w:color w:val="000000"/>
          <w:sz w:val="16"/>
          <w:szCs w:val="16"/>
          <w:shd w:val="clear" w:color="auto" w:fill="FFFFFF"/>
        </w:rPr>
        <w:t>Preventing Chronic Disease</w:t>
      </w:r>
      <w:r w:rsidRPr="00A104AD">
        <w:rPr>
          <w:rFonts w:ascii="Ubuntu" w:hAnsi="Ubuntu" w:cstheme="minorHAnsi"/>
          <w:color w:val="000000"/>
          <w:sz w:val="16"/>
          <w:szCs w:val="16"/>
          <w:shd w:val="clear" w:color="auto" w:fill="FFFFFF"/>
        </w:rPr>
        <w:t xml:space="preserve"> </w:t>
      </w:r>
      <w:r w:rsidRPr="00A104AD">
        <w:rPr>
          <w:rFonts w:ascii="Ubuntu" w:hAnsi="Ubuntu" w:cstheme="minorHAnsi"/>
          <w:i/>
          <w:color w:val="000000"/>
          <w:sz w:val="16"/>
          <w:szCs w:val="16"/>
          <w:shd w:val="clear" w:color="auto" w:fill="FFFFFF"/>
        </w:rPr>
        <w:t>11</w:t>
      </w:r>
      <w:r w:rsidRPr="00A104AD">
        <w:rPr>
          <w:rFonts w:ascii="Ubuntu" w:hAnsi="Ubuntu" w:cstheme="minorHAnsi"/>
          <w:color w:val="000000"/>
          <w:sz w:val="16"/>
          <w:szCs w:val="16"/>
          <w:shd w:val="clear" w:color="auto" w:fill="FFFFFF"/>
        </w:rPr>
        <w:t xml:space="preserve">(140162). </w:t>
      </w:r>
      <w:hyperlink r:id="rId12" w:history="1">
        <w:r w:rsidRPr="00A104AD">
          <w:rPr>
            <w:rStyle w:val="Hyperlink"/>
            <w:rFonts w:cstheme="minorHAnsi"/>
            <w:sz w:val="16"/>
            <w:szCs w:val="16"/>
            <w:shd w:val="clear" w:color="auto" w:fill="FFFFFF"/>
          </w:rPr>
          <w:t>http://dx.doi.org/10.5888/pcd11.140162</w:t>
        </w:r>
      </w:hyperlink>
      <w:r w:rsidRPr="00A104AD">
        <w:rPr>
          <w:rFonts w:ascii="Ubuntu" w:hAnsi="Ubuntu" w:cstheme="minorHAnsi"/>
          <w:color w:val="000000"/>
          <w:sz w:val="16"/>
          <w:szCs w:val="16"/>
          <w:shd w:val="clear" w:color="auto" w:fill="FFFFFF"/>
        </w:rPr>
        <w:t xml:space="preserve">. </w:t>
      </w:r>
      <w:r w:rsidRPr="00A104AD">
        <w:rPr>
          <w:rStyle w:val="Hyperlink"/>
          <w:rFonts w:cstheme="minorHAnsi"/>
          <w:sz w:val="16"/>
          <w:szCs w:val="16"/>
        </w:rPr>
        <w:t xml:space="preserve"> </w:t>
      </w:r>
    </w:p>
  </w:footnote>
  <w:footnote w:id="7">
    <w:p w14:paraId="181B039D" w14:textId="77777777" w:rsidR="004F0EA8" w:rsidRPr="004F0EA8" w:rsidRDefault="004F0EA8" w:rsidP="004F0EA8">
      <w:pPr>
        <w:spacing w:after="0" w:line="240" w:lineRule="auto"/>
        <w:rPr>
          <w:rFonts w:ascii="Ubuntu" w:eastAsia="Times New Roman" w:hAnsi="Ubuntu"/>
          <w:b/>
          <w:sz w:val="16"/>
          <w:szCs w:val="16"/>
        </w:rPr>
      </w:pPr>
      <w:r w:rsidRPr="004F0EA8">
        <w:rPr>
          <w:rStyle w:val="FootnoteReference"/>
          <w:sz w:val="16"/>
          <w:szCs w:val="16"/>
        </w:rPr>
        <w:footnoteRef/>
      </w:r>
      <w:r w:rsidRPr="004F0EA8">
        <w:rPr>
          <w:sz w:val="16"/>
          <w:szCs w:val="16"/>
        </w:rPr>
        <w:t xml:space="preserve"> </w:t>
      </w:r>
      <w:r w:rsidRPr="004F0EA8">
        <w:rPr>
          <w:rFonts w:ascii="Ubuntu" w:eastAsia="Times New Roman" w:hAnsi="Ubuntu"/>
          <w:sz w:val="16"/>
          <w:szCs w:val="16"/>
        </w:rPr>
        <w:t xml:space="preserve">Gleason, J., Ross, W, </w:t>
      </w:r>
      <w:proofErr w:type="spellStart"/>
      <w:r w:rsidRPr="004F0EA8">
        <w:rPr>
          <w:rFonts w:ascii="Ubuntu" w:eastAsia="Times New Roman" w:hAnsi="Ubuntu"/>
          <w:sz w:val="16"/>
          <w:szCs w:val="16"/>
        </w:rPr>
        <w:t>Fossi</w:t>
      </w:r>
      <w:proofErr w:type="spellEnd"/>
      <w:r w:rsidRPr="004F0EA8">
        <w:rPr>
          <w:rFonts w:ascii="Ubuntu" w:eastAsia="Times New Roman" w:hAnsi="Ubuntu"/>
          <w:sz w:val="16"/>
          <w:szCs w:val="16"/>
        </w:rPr>
        <w:t xml:space="preserve">, A, </w:t>
      </w:r>
      <w:proofErr w:type="spellStart"/>
      <w:r w:rsidRPr="004F0EA8">
        <w:rPr>
          <w:rFonts w:ascii="Ubuntu" w:eastAsia="Times New Roman" w:hAnsi="Ubuntu"/>
          <w:sz w:val="16"/>
          <w:szCs w:val="16"/>
        </w:rPr>
        <w:t>Blonsky</w:t>
      </w:r>
      <w:proofErr w:type="spellEnd"/>
      <w:r w:rsidRPr="004F0EA8">
        <w:rPr>
          <w:rFonts w:ascii="Ubuntu" w:eastAsia="Times New Roman" w:hAnsi="Ubuntu"/>
          <w:sz w:val="16"/>
          <w:szCs w:val="16"/>
        </w:rPr>
        <w:t xml:space="preserve">, H, Tobias, J, Stephens, M. (2021). The Devastating Impact of COVID-19 on individuals with intellectual disabilities in the United States. </w:t>
      </w:r>
      <w:r w:rsidRPr="004F0EA8">
        <w:rPr>
          <w:rFonts w:ascii="Ubuntu" w:eastAsia="Times New Roman" w:hAnsi="Ubuntu"/>
          <w:i/>
          <w:iCs/>
          <w:sz w:val="16"/>
          <w:szCs w:val="16"/>
        </w:rPr>
        <w:t>New England Journal of Medicine Catalyst</w:t>
      </w:r>
      <w:r w:rsidRPr="004F0EA8">
        <w:rPr>
          <w:rFonts w:ascii="Ubuntu" w:eastAsia="Times New Roman" w:hAnsi="Ubuntu"/>
          <w:sz w:val="16"/>
          <w:szCs w:val="16"/>
        </w:rPr>
        <w:t>. In press.</w:t>
      </w:r>
    </w:p>
    <w:p w14:paraId="48746496" w14:textId="25245974" w:rsidR="004F0EA8" w:rsidRDefault="004F0EA8">
      <w:pPr>
        <w:pStyle w:val="FootnoteText"/>
      </w:pPr>
    </w:p>
  </w:footnote>
  <w:footnote w:id="8">
    <w:p w14:paraId="11D489CA" w14:textId="77777777" w:rsidR="004224C7" w:rsidRDefault="004224C7" w:rsidP="004224C7">
      <w:pPr>
        <w:pStyle w:val="FootnoteText"/>
      </w:pPr>
      <w:r w:rsidRPr="00A104AD">
        <w:rPr>
          <w:rStyle w:val="FootnoteReference"/>
          <w:rFonts w:ascii="Ubuntu" w:hAnsi="Ubuntu" w:cstheme="minorHAnsi"/>
          <w:sz w:val="16"/>
          <w:szCs w:val="16"/>
        </w:rPr>
        <w:footnoteRef/>
      </w:r>
      <w:r w:rsidRPr="00A104AD">
        <w:rPr>
          <w:rFonts w:ascii="Ubuntu" w:hAnsi="Ubuntu" w:cstheme="minorHAnsi"/>
          <w:sz w:val="16"/>
          <w:szCs w:val="16"/>
        </w:rPr>
        <w:t xml:space="preserve"> </w:t>
      </w:r>
      <w:r w:rsidRPr="00A104AD">
        <w:rPr>
          <w:rFonts w:ascii="Ubuntu" w:hAnsi="Ubuntu" w:cs="Segoe UI"/>
          <w:color w:val="212121"/>
          <w:sz w:val="16"/>
          <w:szCs w:val="16"/>
          <w:shd w:val="clear" w:color="auto" w:fill="FFFFFF"/>
        </w:rPr>
        <w:t xml:space="preserve">Bazzano, A., </w:t>
      </w:r>
      <w:proofErr w:type="spellStart"/>
      <w:r w:rsidRPr="00A104AD">
        <w:rPr>
          <w:rFonts w:ascii="Ubuntu" w:hAnsi="Ubuntu" w:cs="Segoe UI"/>
          <w:color w:val="212121"/>
          <w:sz w:val="16"/>
          <w:szCs w:val="16"/>
          <w:shd w:val="clear" w:color="auto" w:fill="FFFFFF"/>
        </w:rPr>
        <w:t>Zeldin</w:t>
      </w:r>
      <w:proofErr w:type="spellEnd"/>
      <w:r w:rsidRPr="00A104AD">
        <w:rPr>
          <w:rFonts w:ascii="Ubuntu" w:hAnsi="Ubuntu" w:cs="Segoe UI"/>
          <w:color w:val="212121"/>
          <w:sz w:val="16"/>
          <w:szCs w:val="16"/>
          <w:shd w:val="clear" w:color="auto" w:fill="FFFFFF"/>
        </w:rPr>
        <w:t>, A., Schuster, E., Barrett, C., &amp; Lehrer, D. (2012). Vaccine-related beliefs and practices of parents of children with autism spectrum disorders. </w:t>
      </w:r>
      <w:r w:rsidRPr="00A104AD">
        <w:rPr>
          <w:rFonts w:ascii="Ubuntu" w:hAnsi="Ubuntu" w:cs="Segoe UI"/>
          <w:i/>
          <w:iCs/>
          <w:color w:val="212121"/>
          <w:sz w:val="16"/>
          <w:szCs w:val="16"/>
          <w:shd w:val="clear" w:color="auto" w:fill="FFFFFF"/>
        </w:rPr>
        <w:t>American journal on intellectual and developmental disabilities</w:t>
      </w:r>
      <w:r w:rsidRPr="00A104AD">
        <w:rPr>
          <w:rFonts w:ascii="Ubuntu" w:hAnsi="Ubuntu" w:cs="Segoe UI"/>
          <w:color w:val="212121"/>
          <w:sz w:val="16"/>
          <w:szCs w:val="16"/>
          <w:shd w:val="clear" w:color="auto" w:fill="FFFFFF"/>
        </w:rPr>
        <w:t>, </w:t>
      </w:r>
      <w:r w:rsidRPr="00A104AD">
        <w:rPr>
          <w:rFonts w:ascii="Ubuntu" w:hAnsi="Ubuntu" w:cs="Segoe UI"/>
          <w:i/>
          <w:iCs/>
          <w:color w:val="212121"/>
          <w:sz w:val="16"/>
          <w:szCs w:val="16"/>
          <w:shd w:val="clear" w:color="auto" w:fill="FFFFFF"/>
        </w:rPr>
        <w:t>117</w:t>
      </w:r>
      <w:r w:rsidRPr="00A104AD">
        <w:rPr>
          <w:rFonts w:ascii="Ubuntu" w:hAnsi="Ubuntu" w:cs="Segoe UI"/>
          <w:color w:val="212121"/>
          <w:sz w:val="16"/>
          <w:szCs w:val="16"/>
          <w:shd w:val="clear" w:color="auto" w:fill="FFFFFF"/>
        </w:rPr>
        <w:t xml:space="preserve">(3), 233–242. </w:t>
      </w:r>
      <w:hyperlink r:id="rId13" w:history="1">
        <w:r w:rsidRPr="00A104AD">
          <w:rPr>
            <w:rStyle w:val="Hyperlink"/>
            <w:rFonts w:cs="Segoe UI"/>
            <w:sz w:val="16"/>
            <w:szCs w:val="16"/>
            <w:shd w:val="clear" w:color="auto" w:fill="FFFFFF"/>
          </w:rPr>
          <w:t>https://doi.org/10.1352/1944-7558-117.3.233</w:t>
        </w:r>
      </w:hyperlink>
      <w:r w:rsidRPr="00A104AD">
        <w:rPr>
          <w:rFonts w:ascii="Ubuntu" w:hAnsi="Ubuntu" w:cs="Segoe UI"/>
          <w:color w:val="212121"/>
          <w:sz w:val="16"/>
          <w:szCs w:val="16"/>
          <w:shd w:val="clear" w:color="auto" w:fill="FFFFFF"/>
        </w:rPr>
        <w:t xml:space="preserve">. </w:t>
      </w:r>
      <w:r w:rsidRPr="00A104AD">
        <w:rPr>
          <w:rFonts w:ascii="Ubuntu" w:hAnsi="Ubuntu" w:cs="Arial"/>
          <w:color w:val="303030"/>
          <w:sz w:val="16"/>
          <w:szCs w:val="16"/>
          <w:shd w:val="clear" w:color="auto" w:fill="FFFFFF"/>
        </w:rPr>
        <w:t xml:space="preserve">O'Neill, J., Newall, F., </w:t>
      </w:r>
      <w:proofErr w:type="spellStart"/>
      <w:r w:rsidRPr="00A104AD">
        <w:rPr>
          <w:rFonts w:ascii="Ubuntu" w:hAnsi="Ubuntu" w:cs="Arial"/>
          <w:color w:val="303030"/>
          <w:sz w:val="16"/>
          <w:szCs w:val="16"/>
          <w:shd w:val="clear" w:color="auto" w:fill="FFFFFF"/>
        </w:rPr>
        <w:t>Antolovich</w:t>
      </w:r>
      <w:proofErr w:type="spellEnd"/>
      <w:r w:rsidRPr="00A104AD">
        <w:rPr>
          <w:rFonts w:ascii="Ubuntu" w:hAnsi="Ubuntu" w:cs="Arial"/>
          <w:color w:val="303030"/>
          <w:sz w:val="16"/>
          <w:szCs w:val="16"/>
          <w:shd w:val="clear" w:color="auto" w:fill="FFFFFF"/>
        </w:rPr>
        <w:t xml:space="preserve">, G., Lima, S., &amp; </w:t>
      </w:r>
      <w:proofErr w:type="spellStart"/>
      <w:r w:rsidRPr="00A104AD">
        <w:rPr>
          <w:rFonts w:ascii="Ubuntu" w:hAnsi="Ubuntu" w:cs="Arial"/>
          <w:color w:val="303030"/>
          <w:sz w:val="16"/>
          <w:szCs w:val="16"/>
          <w:shd w:val="clear" w:color="auto" w:fill="FFFFFF"/>
        </w:rPr>
        <w:t>Danchin</w:t>
      </w:r>
      <w:proofErr w:type="spellEnd"/>
      <w:r w:rsidRPr="00A104AD">
        <w:rPr>
          <w:rFonts w:ascii="Ubuntu" w:hAnsi="Ubuntu" w:cs="Arial"/>
          <w:color w:val="303030"/>
          <w:sz w:val="16"/>
          <w:szCs w:val="16"/>
          <w:shd w:val="clear" w:color="auto" w:fill="FFFFFF"/>
        </w:rPr>
        <w:t>, M. (2020). Vaccination in people with disability: a review. </w:t>
      </w:r>
      <w:r w:rsidRPr="00A104AD">
        <w:rPr>
          <w:rFonts w:ascii="Ubuntu" w:hAnsi="Ubuntu" w:cs="Arial"/>
          <w:i/>
          <w:iCs/>
          <w:color w:val="303030"/>
          <w:sz w:val="16"/>
          <w:szCs w:val="16"/>
          <w:shd w:val="clear" w:color="auto" w:fill="FFFFFF"/>
        </w:rPr>
        <w:t xml:space="preserve">Human vaccines &amp; </w:t>
      </w:r>
      <w:proofErr w:type="spellStart"/>
      <w:r w:rsidRPr="00A104AD">
        <w:rPr>
          <w:rFonts w:ascii="Ubuntu" w:hAnsi="Ubuntu" w:cs="Arial"/>
          <w:i/>
          <w:iCs/>
          <w:color w:val="303030"/>
          <w:sz w:val="16"/>
          <w:szCs w:val="16"/>
          <w:shd w:val="clear" w:color="auto" w:fill="FFFFFF"/>
        </w:rPr>
        <w:t>immunotherapeutics</w:t>
      </w:r>
      <w:proofErr w:type="spellEnd"/>
      <w:r w:rsidRPr="00A104AD">
        <w:rPr>
          <w:rFonts w:ascii="Ubuntu" w:hAnsi="Ubuntu" w:cs="Arial"/>
          <w:color w:val="303030"/>
          <w:sz w:val="16"/>
          <w:szCs w:val="16"/>
          <w:shd w:val="clear" w:color="auto" w:fill="FFFFFF"/>
        </w:rPr>
        <w:t>, </w:t>
      </w:r>
      <w:r w:rsidRPr="00A104AD">
        <w:rPr>
          <w:rFonts w:ascii="Ubuntu" w:hAnsi="Ubuntu" w:cs="Arial"/>
          <w:i/>
          <w:iCs/>
          <w:color w:val="303030"/>
          <w:sz w:val="16"/>
          <w:szCs w:val="16"/>
          <w:shd w:val="clear" w:color="auto" w:fill="FFFFFF"/>
        </w:rPr>
        <w:t>16</w:t>
      </w:r>
      <w:r w:rsidRPr="00A104AD">
        <w:rPr>
          <w:rFonts w:ascii="Ubuntu" w:hAnsi="Ubuntu" w:cs="Arial"/>
          <w:color w:val="303030"/>
          <w:sz w:val="16"/>
          <w:szCs w:val="16"/>
          <w:shd w:val="clear" w:color="auto" w:fill="FFFFFF"/>
        </w:rPr>
        <w:t xml:space="preserve">(1), 7–15. </w:t>
      </w:r>
      <w:hyperlink r:id="rId14" w:history="1">
        <w:r w:rsidRPr="00A104AD">
          <w:rPr>
            <w:rStyle w:val="Hyperlink"/>
            <w:rFonts w:cs="Arial"/>
            <w:sz w:val="16"/>
            <w:szCs w:val="16"/>
            <w:shd w:val="clear" w:color="auto" w:fill="FFFFFF"/>
          </w:rPr>
          <w:t>https://doi.org/10.1080/21645515.2019.1640556</w:t>
        </w:r>
      </w:hyperlink>
      <w:r w:rsidRPr="00A104AD">
        <w:rPr>
          <w:rFonts w:ascii="Ubuntu" w:hAnsi="Ubuntu" w:cs="Arial"/>
          <w:color w:val="303030"/>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FD6C" w14:textId="72E8E58B" w:rsidR="00E25D14" w:rsidRDefault="00E25D14" w:rsidP="00E25D14">
    <w:pPr>
      <w:pStyle w:val="Header"/>
    </w:pPr>
    <w:r>
      <w:rPr>
        <w:noProof/>
        <w:lang w:eastAsia="en-US"/>
      </w:rPr>
      <w:drawing>
        <wp:anchor distT="0" distB="0" distL="114300" distR="114300" simplePos="0" relativeHeight="251668480" behindDoc="1" locked="0" layoutInCell="1" allowOverlap="1" wp14:anchorId="5CA0F944" wp14:editId="26878829">
          <wp:simplePos x="0" y="0"/>
          <wp:positionH relativeFrom="page">
            <wp:posOffset>0</wp:posOffset>
          </wp:positionH>
          <wp:positionV relativeFrom="page">
            <wp:posOffset>0</wp:posOffset>
          </wp:positionV>
          <wp:extent cx="7768136" cy="10058400"/>
          <wp:effectExtent l="25400" t="0" r="4264" b="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
                  <a:stretch>
                    <a:fillRect/>
                  </a:stretch>
                </pic:blipFill>
                <pic:spPr>
                  <a:xfrm>
                    <a:off x="0" y="0"/>
                    <a:ext cx="7768136" cy="10058400"/>
                  </a:xfrm>
                  <a:prstGeom prst="rect">
                    <a:avLst/>
                  </a:prstGeom>
                </pic:spPr>
              </pic:pic>
            </a:graphicData>
          </a:graphic>
        </wp:anchor>
      </w:drawing>
    </w:r>
    <w:r w:rsidR="00FC0C0A">
      <w:rPr>
        <w:noProof/>
        <w:lang w:eastAsia="en-US"/>
      </w:rPr>
      <mc:AlternateContent>
        <mc:Choice Requires="wps">
          <w:drawing>
            <wp:anchor distT="0" distB="0" distL="114300" distR="114300" simplePos="0" relativeHeight="251669504" behindDoc="0" locked="0" layoutInCell="1" allowOverlap="1" wp14:anchorId="387F5A4C" wp14:editId="4014A41E">
              <wp:simplePos x="0" y="0"/>
              <wp:positionH relativeFrom="column">
                <wp:posOffset>3208020</wp:posOffset>
              </wp:positionH>
              <wp:positionV relativeFrom="paragraph">
                <wp:posOffset>410845</wp:posOffset>
              </wp:positionV>
              <wp:extent cx="2504440" cy="338455"/>
              <wp:effectExtent l="0" t="127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AD08" w14:textId="77777777" w:rsidR="00E25D14" w:rsidRPr="00AE7A19" w:rsidRDefault="00E25D14" w:rsidP="00E25D14">
                          <w:pPr>
                            <w:pStyle w:val="HeaderprogramName"/>
                          </w:pPr>
                          <w:r>
                            <w:t>Program Name</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7F5A4C" id="_x0000_t202" coordsize="21600,21600" o:spt="202" path="m,l,21600r21600,l21600,xe">
              <v:stroke joinstyle="miter"/>
              <v:path gradientshapeok="t" o:connecttype="rect"/>
            </v:shapetype>
            <v:shape id="Text Box 2" o:spid="_x0000_s1026" type="#_x0000_t202" style="position:absolute;margin-left:252.6pt;margin-top:32.35pt;width:197.2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fAsQIAAK0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" filled="f" stroked="f">
              <v:textbox inset="0,0,2mm,0">
                <w:txbxContent>
                  <w:p w14:paraId="7E88AD08" w14:textId="77777777" w:rsidR="00E25D14" w:rsidRPr="00AE7A19" w:rsidRDefault="00E25D14" w:rsidP="00E25D14">
                    <w:pPr>
                      <w:pStyle w:val="HeaderprogramName"/>
                    </w:pPr>
                    <w:r>
                      <w:t>Program Name</w:t>
                    </w:r>
                  </w:p>
                </w:txbxContent>
              </v:textbox>
            </v:shape>
          </w:pict>
        </mc:Fallback>
      </mc:AlternateContent>
    </w:r>
    <w:r>
      <w:softHyphen/>
    </w:r>
    <w:r>
      <w:softHyphen/>
    </w:r>
    <w:r>
      <w:softHyphen/>
    </w:r>
    <w:r>
      <w:softHyphen/>
    </w:r>
    <w:r>
      <w:softHyphen/>
    </w:r>
  </w:p>
  <w:p w14:paraId="7C8467A2" w14:textId="77777777" w:rsidR="00E25D14" w:rsidRDefault="00E25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05E3" w14:textId="39C444C7" w:rsidR="00FF1F7B" w:rsidRDefault="00F9284B" w:rsidP="00FA75F4">
    <w:pPr>
      <w:pStyle w:val="Header"/>
    </w:pPr>
    <w:r>
      <w:rPr>
        <w:noProof/>
        <w:lang w:eastAsia="en-US"/>
      </w:rPr>
      <w:drawing>
        <wp:anchor distT="0" distB="0" distL="114300" distR="114300" simplePos="0" relativeHeight="251664384" behindDoc="1" locked="0" layoutInCell="1" allowOverlap="1" wp14:anchorId="58195C11" wp14:editId="5FEDEE30">
          <wp:simplePos x="0" y="0"/>
          <wp:positionH relativeFrom="page">
            <wp:posOffset>0</wp:posOffset>
          </wp:positionH>
          <wp:positionV relativeFrom="page">
            <wp:posOffset>0</wp:posOffset>
          </wp:positionV>
          <wp:extent cx="7768136" cy="10058400"/>
          <wp:effectExtent l="25400" t="0" r="4264"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136" cy="10058400"/>
                  </a:xfrm>
                  <a:prstGeom prst="rect">
                    <a:avLst/>
                  </a:prstGeom>
                </pic:spPr>
              </pic:pic>
            </a:graphicData>
          </a:graphic>
        </wp:anchor>
      </w:drawing>
    </w:r>
    <w:r w:rsidR="00FC0C0A">
      <w:rPr>
        <w:noProof/>
        <w:lang w:eastAsia="en-US"/>
      </w:rPr>
      <mc:AlternateContent>
        <mc:Choice Requires="wps">
          <w:drawing>
            <wp:anchor distT="0" distB="0" distL="114300" distR="114300" simplePos="0" relativeHeight="251666432" behindDoc="0" locked="0" layoutInCell="1" allowOverlap="1" wp14:anchorId="234741EC" wp14:editId="5035C49B">
              <wp:simplePos x="0" y="0"/>
              <wp:positionH relativeFrom="column">
                <wp:posOffset>3208020</wp:posOffset>
              </wp:positionH>
              <wp:positionV relativeFrom="paragraph">
                <wp:posOffset>410845</wp:posOffset>
              </wp:positionV>
              <wp:extent cx="2504440" cy="338455"/>
              <wp:effectExtent l="0"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5EA4" w14:textId="77777777" w:rsidR="00AE7A19" w:rsidRPr="00AE7A19" w:rsidRDefault="00AE7A19" w:rsidP="00AE7A19">
                          <w:pPr>
                            <w:pStyle w:val="HeaderprogramName"/>
                          </w:pPr>
                          <w:r>
                            <w:t>Program Name</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741EC" id="_x0000_t202" coordsize="21600,21600" o:spt="202" path="m,l,21600r21600,l21600,xe">
              <v:stroke joinstyle="miter"/>
              <v:path gradientshapeok="t" o:connecttype="rect"/>
            </v:shapetype>
            <v:shape id="Text Box 4" o:spid="_x0000_s1027" type="#_x0000_t202" style="position:absolute;margin-left:252.6pt;margin-top:32.35pt;width:197.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mOsgIAALQ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" filled="f" stroked="f">
              <v:textbox inset="0,0,2mm,0">
                <w:txbxContent>
                  <w:p w14:paraId="014D5EA4" w14:textId="77777777" w:rsidR="00AE7A19" w:rsidRPr="00AE7A19" w:rsidRDefault="00AE7A19" w:rsidP="00AE7A19">
                    <w:pPr>
                      <w:pStyle w:val="HeaderprogramName"/>
                    </w:pPr>
                    <w:r>
                      <w:t>Program Name</w:t>
                    </w:r>
                  </w:p>
                </w:txbxContent>
              </v:textbox>
            </v:shape>
          </w:pict>
        </mc:Fallback>
      </mc:AlternateContent>
    </w:r>
    <w:r w:rsidR="00FF1F7B">
      <w:softHyphen/>
    </w:r>
    <w:r w:rsidR="00FF1F7B">
      <w:softHyphen/>
    </w:r>
    <w:r w:rsidR="00FF1F7B">
      <w:softHyphen/>
    </w:r>
    <w:r w:rsidR="00FF1F7B">
      <w:softHyphen/>
    </w:r>
    <w:r w:rsidR="00AE7A19">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4D712C"/>
    <w:multiLevelType w:val="hybridMultilevel"/>
    <w:tmpl w:val="78A4B7D6"/>
    <w:lvl w:ilvl="0" w:tplc="3342DF0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A20667"/>
    <w:multiLevelType w:val="hybridMultilevel"/>
    <w:tmpl w:val="031C99D0"/>
    <w:lvl w:ilvl="0" w:tplc="2758E5C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226FB"/>
    <w:rsid w:val="0002746D"/>
    <w:rsid w:val="00035216"/>
    <w:rsid w:val="00150650"/>
    <w:rsid w:val="00164892"/>
    <w:rsid w:val="001649E5"/>
    <w:rsid w:val="001867EB"/>
    <w:rsid w:val="0019647D"/>
    <w:rsid w:val="001E5BB2"/>
    <w:rsid w:val="002B59A3"/>
    <w:rsid w:val="002C1789"/>
    <w:rsid w:val="003D1684"/>
    <w:rsid w:val="004128A0"/>
    <w:rsid w:val="004224C7"/>
    <w:rsid w:val="004354F3"/>
    <w:rsid w:val="00475650"/>
    <w:rsid w:val="00476BBE"/>
    <w:rsid w:val="004D1C6F"/>
    <w:rsid w:val="004E2F94"/>
    <w:rsid w:val="004F0EA8"/>
    <w:rsid w:val="00515B1E"/>
    <w:rsid w:val="00520996"/>
    <w:rsid w:val="00535481"/>
    <w:rsid w:val="005415DE"/>
    <w:rsid w:val="00544ED1"/>
    <w:rsid w:val="0059424F"/>
    <w:rsid w:val="005B1AD9"/>
    <w:rsid w:val="005E0A60"/>
    <w:rsid w:val="005E5A86"/>
    <w:rsid w:val="006D756C"/>
    <w:rsid w:val="006E4CCC"/>
    <w:rsid w:val="007004E1"/>
    <w:rsid w:val="00730998"/>
    <w:rsid w:val="00733FB7"/>
    <w:rsid w:val="00800680"/>
    <w:rsid w:val="00821740"/>
    <w:rsid w:val="00823D4A"/>
    <w:rsid w:val="00856839"/>
    <w:rsid w:val="008E1E9F"/>
    <w:rsid w:val="009131D5"/>
    <w:rsid w:val="00925050"/>
    <w:rsid w:val="00930066"/>
    <w:rsid w:val="00950BD9"/>
    <w:rsid w:val="00966860"/>
    <w:rsid w:val="009A339D"/>
    <w:rsid w:val="009F70C8"/>
    <w:rsid w:val="00A06F00"/>
    <w:rsid w:val="00A26402"/>
    <w:rsid w:val="00A441E8"/>
    <w:rsid w:val="00A835F0"/>
    <w:rsid w:val="00AB2CF3"/>
    <w:rsid w:val="00AE7A19"/>
    <w:rsid w:val="00AF0886"/>
    <w:rsid w:val="00B102FB"/>
    <w:rsid w:val="00B12CBC"/>
    <w:rsid w:val="00B2279F"/>
    <w:rsid w:val="00BA106D"/>
    <w:rsid w:val="00BA4435"/>
    <w:rsid w:val="00BD3073"/>
    <w:rsid w:val="00BF24E9"/>
    <w:rsid w:val="00C3083B"/>
    <w:rsid w:val="00C7651F"/>
    <w:rsid w:val="00D21E0A"/>
    <w:rsid w:val="00D4165F"/>
    <w:rsid w:val="00D90F43"/>
    <w:rsid w:val="00E20BB2"/>
    <w:rsid w:val="00E25D14"/>
    <w:rsid w:val="00E30B63"/>
    <w:rsid w:val="00E76F12"/>
    <w:rsid w:val="00E77D81"/>
    <w:rsid w:val="00E93292"/>
    <w:rsid w:val="00ED7539"/>
    <w:rsid w:val="00F16F29"/>
    <w:rsid w:val="00F752E9"/>
    <w:rsid w:val="00F9284B"/>
    <w:rsid w:val="00FA75F4"/>
    <w:rsid w:val="00FB29B0"/>
    <w:rsid w:val="00FB3E06"/>
    <w:rsid w:val="00FB4CEC"/>
    <w:rsid w:val="00FC0C0A"/>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C4284"/>
  <w15:docId w15:val="{B6C26DB4-A95B-D743-9E66-DDCC3D5D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CommentText">
    <w:name w:val="annotation text"/>
    <w:basedOn w:val="Normal"/>
    <w:link w:val="CommentTextChar"/>
    <w:uiPriority w:val="99"/>
    <w:unhideWhenUsed/>
    <w:rsid w:val="00E25D14"/>
    <w:pPr>
      <w:tabs>
        <w:tab w:val="clear" w:pos="640"/>
      </w:tabs>
      <w:spacing w:line="240" w:lineRule="auto"/>
    </w:pPr>
    <w:rPr>
      <w:rFonts w:asciiTheme="minorHAnsi" w:eastAsiaTheme="minorHAnsi" w:hAnsiTheme="minorHAnsi" w:cstheme="minorBidi"/>
      <w:spacing w:val="0"/>
      <w:kern w:val="0"/>
      <w:sz w:val="20"/>
      <w:szCs w:val="20"/>
      <w:lang w:eastAsia="en-US"/>
    </w:rPr>
  </w:style>
  <w:style w:type="character" w:customStyle="1" w:styleId="CommentTextChar">
    <w:name w:val="Comment Text Char"/>
    <w:basedOn w:val="DefaultParagraphFont"/>
    <w:link w:val="CommentText"/>
    <w:uiPriority w:val="99"/>
    <w:rsid w:val="00E25D14"/>
    <w:rPr>
      <w:rFonts w:asciiTheme="minorHAnsi" w:eastAsiaTheme="minorHAnsi" w:hAnsiTheme="minorHAnsi" w:cstheme="minorBidi"/>
    </w:rPr>
  </w:style>
  <w:style w:type="paragraph" w:styleId="EndnoteText">
    <w:name w:val="endnote text"/>
    <w:basedOn w:val="Normal"/>
    <w:link w:val="EndnoteTextChar"/>
    <w:uiPriority w:val="99"/>
    <w:unhideWhenUsed/>
    <w:rsid w:val="00E25D14"/>
    <w:pPr>
      <w:tabs>
        <w:tab w:val="clear" w:pos="640"/>
      </w:tabs>
      <w:spacing w:after="0" w:line="240" w:lineRule="auto"/>
    </w:pPr>
    <w:rPr>
      <w:rFonts w:asciiTheme="minorHAnsi" w:eastAsiaTheme="minorHAnsi" w:hAnsiTheme="minorHAnsi" w:cstheme="minorBidi"/>
      <w:spacing w:val="0"/>
      <w:kern w:val="0"/>
      <w:sz w:val="20"/>
      <w:szCs w:val="20"/>
      <w:lang w:eastAsia="en-US"/>
    </w:rPr>
  </w:style>
  <w:style w:type="character" w:customStyle="1" w:styleId="EndnoteTextChar">
    <w:name w:val="Endnote Text Char"/>
    <w:basedOn w:val="DefaultParagraphFont"/>
    <w:link w:val="EndnoteText"/>
    <w:uiPriority w:val="99"/>
    <w:rsid w:val="00E25D1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25D14"/>
    <w:rPr>
      <w:vertAlign w:val="superscript"/>
    </w:rPr>
  </w:style>
  <w:style w:type="paragraph" w:styleId="ListParagraph">
    <w:name w:val="List Paragraph"/>
    <w:basedOn w:val="Normal"/>
    <w:uiPriority w:val="34"/>
    <w:qFormat/>
    <w:rsid w:val="00E25D14"/>
    <w:pPr>
      <w:tabs>
        <w:tab w:val="clear" w:pos="640"/>
      </w:tabs>
      <w:spacing w:line="259" w:lineRule="auto"/>
      <w:ind w:left="720"/>
      <w:contextualSpacing/>
    </w:pPr>
    <w:rPr>
      <w:rFonts w:asciiTheme="minorHAnsi" w:eastAsiaTheme="minorHAnsi" w:hAnsiTheme="minorHAnsi" w:cstheme="minorBidi"/>
      <w:spacing w:val="0"/>
      <w:kern w:val="0"/>
      <w:sz w:val="22"/>
      <w:szCs w:val="22"/>
      <w:lang w:eastAsia="en-US"/>
    </w:rPr>
  </w:style>
  <w:style w:type="character" w:customStyle="1" w:styleId="normaltextrun">
    <w:name w:val="normaltextrun"/>
    <w:basedOn w:val="DefaultParagraphFont"/>
    <w:rsid w:val="00E25D14"/>
  </w:style>
  <w:style w:type="paragraph" w:styleId="FootnoteText">
    <w:name w:val="footnote text"/>
    <w:basedOn w:val="Normal"/>
    <w:link w:val="FootnoteTextChar"/>
    <w:uiPriority w:val="99"/>
    <w:unhideWhenUsed/>
    <w:rsid w:val="004224C7"/>
    <w:pPr>
      <w:tabs>
        <w:tab w:val="clear" w:pos="640"/>
      </w:tabs>
      <w:spacing w:after="0" w:line="240" w:lineRule="auto"/>
    </w:pPr>
    <w:rPr>
      <w:rFonts w:asciiTheme="minorHAnsi" w:eastAsiaTheme="minorHAnsi" w:hAnsiTheme="minorHAnsi" w:cstheme="minorBidi"/>
      <w:spacing w:val="0"/>
      <w:kern w:val="0"/>
      <w:sz w:val="20"/>
      <w:szCs w:val="20"/>
      <w:lang w:eastAsia="en-US"/>
    </w:rPr>
  </w:style>
  <w:style w:type="character" w:customStyle="1" w:styleId="FootnoteTextChar">
    <w:name w:val="Footnote Text Char"/>
    <w:basedOn w:val="DefaultParagraphFont"/>
    <w:link w:val="FootnoteText"/>
    <w:uiPriority w:val="99"/>
    <w:rsid w:val="004224C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224C7"/>
    <w:rPr>
      <w:vertAlign w:val="superscript"/>
    </w:rPr>
  </w:style>
  <w:style w:type="character" w:styleId="CommentReference">
    <w:name w:val="annotation reference"/>
    <w:basedOn w:val="DefaultParagraphFont"/>
    <w:uiPriority w:val="99"/>
    <w:semiHidden/>
    <w:unhideWhenUsed/>
    <w:rsid w:val="00823D4A"/>
    <w:rPr>
      <w:sz w:val="16"/>
      <w:szCs w:val="16"/>
    </w:rPr>
  </w:style>
  <w:style w:type="paragraph" w:styleId="CommentSubject">
    <w:name w:val="annotation subject"/>
    <w:basedOn w:val="CommentText"/>
    <w:next w:val="CommentText"/>
    <w:link w:val="CommentSubjectChar"/>
    <w:uiPriority w:val="99"/>
    <w:semiHidden/>
    <w:unhideWhenUsed/>
    <w:rsid w:val="00823D4A"/>
    <w:pPr>
      <w:tabs>
        <w:tab w:val="left" w:pos="640"/>
      </w:tabs>
    </w:pPr>
    <w:rPr>
      <w:rFonts w:ascii="Ubuntu Light" w:eastAsia="MS Mincho" w:hAnsi="Ubuntu Light" w:cs="Times New Roman"/>
      <w:b/>
      <w:bCs/>
      <w:spacing w:val="-2"/>
      <w:kern w:val="18"/>
      <w:lang w:eastAsia="ja-JP"/>
    </w:rPr>
  </w:style>
  <w:style w:type="character" w:customStyle="1" w:styleId="CommentSubjectChar">
    <w:name w:val="Comment Subject Char"/>
    <w:basedOn w:val="CommentTextChar"/>
    <w:link w:val="CommentSubject"/>
    <w:uiPriority w:val="99"/>
    <w:semiHidden/>
    <w:rsid w:val="00823D4A"/>
    <w:rPr>
      <w:rFonts w:ascii="Ubuntu Light" w:eastAsiaTheme="minorHAnsi" w:hAnsi="Ubuntu Light" w:cstheme="minorBidi"/>
      <w:b/>
      <w:bCs/>
      <w:spacing w:val="-2"/>
      <w:kern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47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dpc.ucsf.edu/sites/odpc.ucsf.edu/files/pdf_docs/A%20Blind%20Spot%20in%20the%20System.pdf" TargetMode="External"/><Relationship Id="rId13" Type="http://schemas.openxmlformats.org/officeDocument/2006/relationships/hyperlink" Target="https://doi.org/10.1352/1944-7558-117.3.233" TargetMode="External"/><Relationship Id="rId3" Type="http://schemas.openxmlformats.org/officeDocument/2006/relationships/hyperlink" Target="https://doi.org/10.1111/jir.12739" TargetMode="External"/><Relationship Id="rId7" Type="http://schemas.openxmlformats.org/officeDocument/2006/relationships/hyperlink" Target="https://doi.org/10.1183/13993003.00547-2020" TargetMode="External"/><Relationship Id="rId12" Type="http://schemas.openxmlformats.org/officeDocument/2006/relationships/hyperlink" Target="http://dx.doi.org/10.5888/pcd11.140162" TargetMode="External"/><Relationship Id="rId2" Type="http://schemas.openxmlformats.org/officeDocument/2006/relationships/hyperlink" Target="https://doi.org/10.1016/j.dhjo.2020.100969" TargetMode="External"/><Relationship Id="rId1" Type="http://schemas.openxmlformats.org/officeDocument/2006/relationships/hyperlink" Target="https://s3.amazonaws.com/media2.fairhealth.org/whitepaper/asset/Risk%20Factors%20for%20COVID-19%20Mortality%20among%20Privately%20Insured%20Patients%20-%20A%20Claims%20Data%20Analysis%20-%20A%20FAIR%20Health%20White%20Paper.pdf" TargetMode="External"/><Relationship Id="rId6" Type="http://schemas.openxmlformats.org/officeDocument/2006/relationships/hyperlink" Target="https://doi.org/10.1016/S0140-6736(20)30566-3" TargetMode="External"/><Relationship Id="rId11" Type="http://schemas.openxmlformats.org/officeDocument/2006/relationships/hyperlink" Target="https://doi.org/10.3390/healthcare5030040" TargetMode="External"/><Relationship Id="rId5" Type="http://schemas.openxmlformats.org/officeDocument/2006/relationships/hyperlink" Target="https://doi.org/10.1016/j.phrs.2020.105250" TargetMode="External"/><Relationship Id="rId10" Type="http://schemas.openxmlformats.org/officeDocument/2006/relationships/hyperlink" Target="https://doi.org/10.1183/20734735.014716" TargetMode="External"/><Relationship Id="rId4" Type="http://schemas.openxmlformats.org/officeDocument/2006/relationships/hyperlink" Target="https://doi.org/10.2105/AJPH.2016.303240" TargetMode="External"/><Relationship Id="rId9" Type="http://schemas.openxmlformats.org/officeDocument/2006/relationships/hyperlink" Target="https://doi.org/10.1136/bmjopen-2015-010505" TargetMode="External"/><Relationship Id="rId14" Type="http://schemas.openxmlformats.org/officeDocument/2006/relationships/hyperlink" Target="https://doi.org/10.1080/21645515.2019.16405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8206-2C68-4E23-8EDB-4DC5321D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Anjela Jenkins</cp:lastModifiedBy>
  <cp:revision>4</cp:revision>
  <cp:lastPrinted>2012-06-19T17:45:00Z</cp:lastPrinted>
  <dcterms:created xsi:type="dcterms:W3CDTF">2021-02-26T14:18:00Z</dcterms:created>
  <dcterms:modified xsi:type="dcterms:W3CDTF">2021-03-03T19:08:00Z</dcterms:modified>
</cp:coreProperties>
</file>