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2DA" w14:textId="790F5755" w:rsidR="001B2A8E" w:rsidRPr="000012E1" w:rsidRDefault="002F7C58" w:rsidP="000012E1">
      <w:pPr>
        <w:spacing w:after="120"/>
        <w:rPr>
          <w:rFonts w:ascii="Ubuntu" w:hAnsi="Ubuntu"/>
          <w:b/>
          <w:bCs/>
          <w:color w:val="F6891F"/>
          <w:sz w:val="48"/>
          <w:szCs w:val="48"/>
        </w:rPr>
      </w:pPr>
      <w:r w:rsidRPr="000012E1">
        <w:rPr>
          <w:rFonts w:ascii="Ubuntu" w:hAnsi="Ubuntu"/>
          <w:b/>
          <w:bCs/>
          <w:color w:val="F6891F"/>
          <w:sz w:val="48"/>
          <w:szCs w:val="48"/>
        </w:rPr>
        <w:t>Guide to Increasing Family Engagement</w:t>
      </w:r>
    </w:p>
    <w:p w14:paraId="248EF77D" w14:textId="5FC6433B" w:rsidR="000012E1" w:rsidRPr="000012E1" w:rsidRDefault="00B773E5" w:rsidP="00722645">
      <w:pPr>
        <w:spacing w:after="0" w:line="288" w:lineRule="auto"/>
        <w:rPr>
          <w:rFonts w:ascii="Ubuntu" w:hAnsi="Ubuntu"/>
          <w:color w:val="292662"/>
        </w:rPr>
      </w:pPr>
      <w:r>
        <w:rPr>
          <w:rFonts w:ascii="Ubuntu" w:hAnsi="Ubuntu"/>
          <w:color w:val="292662"/>
        </w:rPr>
        <w:t>For a Special Olympics Program t</w:t>
      </w:r>
      <w:r w:rsidR="000012E1" w:rsidRPr="000012E1">
        <w:rPr>
          <w:rFonts w:ascii="Ubuntu" w:hAnsi="Ubuntu"/>
          <w:color w:val="292662"/>
        </w:rPr>
        <w:t>o move up stages in family engagement and meet quality standards, you'll need to focus on enhancing communication, involvement, and support from families.</w:t>
      </w:r>
    </w:p>
    <w:p w14:paraId="79B26FE6" w14:textId="47D24944" w:rsidR="000012E1" w:rsidRPr="000012E1" w:rsidRDefault="000012E1" w:rsidP="000012E1">
      <w:pPr>
        <w:spacing w:after="120" w:line="288" w:lineRule="auto"/>
        <w:rPr>
          <w:rFonts w:ascii="Ubuntu" w:hAnsi="Ubuntu"/>
          <w:color w:val="292662"/>
        </w:rPr>
      </w:pPr>
      <w:r w:rsidRPr="000012E1">
        <w:rPr>
          <w:rFonts w:ascii="Ubuntu" w:hAnsi="Ubuntu"/>
          <w:color w:val="292662"/>
        </w:rPr>
        <w:t>Here are steps and strategies to help you achieve this:</w:t>
      </w:r>
    </w:p>
    <w:p w14:paraId="358D5BE5" w14:textId="77777777" w:rsidR="002C2C1E" w:rsidRDefault="002C2C1E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5529"/>
      </w:tblGrid>
      <w:tr w:rsidR="002F7C58" w14:paraId="0CD45E58" w14:textId="77777777" w:rsidTr="00881D26">
        <w:trPr>
          <w:trHeight w:val="1020"/>
        </w:trPr>
        <w:tc>
          <w:tcPr>
            <w:tcW w:w="4111" w:type="dxa"/>
            <w:vMerge w:val="restart"/>
          </w:tcPr>
          <w:p w14:paraId="488728A9" w14:textId="5F8B08EB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042FADB5" w14:textId="77777777" w:rsidR="002F7C58" w:rsidRPr="00E43CF6" w:rsidRDefault="002F7C58" w:rsidP="003C5820">
            <w:pPr>
              <w:jc w:val="center"/>
              <w:rPr>
                <w:rFonts w:ascii="Ubuntu" w:hAnsi="Ubuntu" w:cs="Ubuntu"/>
                <w:b/>
                <w:bCs/>
                <w:kern w:val="0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198" w:type="dxa"/>
              <w:left w:w="369" w:type="dxa"/>
              <w:bottom w:w="198" w:type="dxa"/>
              <w:right w:w="255" w:type="dxa"/>
            </w:tcMar>
          </w:tcPr>
          <w:p w14:paraId="713802E7" w14:textId="3AF864BD" w:rsidR="002F7C58" w:rsidRPr="00C2644C" w:rsidRDefault="002F7C58" w:rsidP="000012E1">
            <w:pPr>
              <w:spacing w:after="60"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 xml:space="preserve">Assess Current Family Engagement Levels 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Conduct a thorough assessment to understand the current level of family engagement in the Special Olympics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rogram. Identify strengths, weaknesses, and areas for improvement.</w:t>
            </w:r>
          </w:p>
        </w:tc>
      </w:tr>
      <w:tr w:rsidR="002F7C58" w14:paraId="31432D0A" w14:textId="77777777" w:rsidTr="00881D26">
        <w:trPr>
          <w:trHeight w:val="227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4A340459" w14:textId="77777777" w:rsidR="002F7C58" w:rsidRPr="002473CA" w:rsidRDefault="002F7C58" w:rsidP="003C5820">
            <w:pPr>
              <w:ind w:left="168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</w:tcBorders>
          </w:tcPr>
          <w:p w14:paraId="4897B4E1" w14:textId="77777777" w:rsidR="002F7C58" w:rsidRPr="00F14E96" w:rsidRDefault="002F7C58" w:rsidP="003C5820">
            <w:pPr>
              <w:ind w:left="168"/>
              <w:jc w:val="center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529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255" w:type="dxa"/>
            </w:tcMar>
          </w:tcPr>
          <w:p w14:paraId="7F0300D0" w14:textId="77777777" w:rsidR="002F7C58" w:rsidRPr="00F14E96" w:rsidRDefault="002F7C58" w:rsidP="003C5820">
            <w:pPr>
              <w:ind w:left="168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2F7C58" w14:paraId="7B3EAEA5" w14:textId="77777777" w:rsidTr="00722645">
        <w:trPr>
          <w:trHeight w:val="1304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7923ADAC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68CAA5E7" w14:textId="77777777" w:rsidR="002F7C58" w:rsidRPr="00E43CF6" w:rsidRDefault="002F7C58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198" w:type="dxa"/>
              <w:left w:w="369" w:type="dxa"/>
              <w:bottom w:w="198" w:type="dxa"/>
              <w:right w:w="255" w:type="dxa"/>
            </w:tcMar>
          </w:tcPr>
          <w:p w14:paraId="58C9EA23" w14:textId="11D79B67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Develop Clear Communication Channels</w:t>
            </w:r>
          </w:p>
          <w:p w14:paraId="09FAF2BB" w14:textId="0C4FBEB6" w:rsidR="002F7C58" w:rsidRPr="00C2644C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Ensure clear and effective communication between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 and families. Establish regular updates, newsletters, emails, or online platforms to inform families about upcoming events, progress, and opportunities for involvement.</w:t>
            </w:r>
          </w:p>
        </w:tc>
      </w:tr>
      <w:tr w:rsidR="002F7C58" w14:paraId="4E1527EB" w14:textId="77777777" w:rsidTr="00881D26">
        <w:trPr>
          <w:trHeight w:val="227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2EBEF16B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</w:tcBorders>
          </w:tcPr>
          <w:p w14:paraId="6E406AEA" w14:textId="77777777" w:rsidR="002F7C58" w:rsidRPr="003A398F" w:rsidRDefault="002F7C58" w:rsidP="003C5820">
            <w:pPr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255" w:type="dxa"/>
            </w:tcMar>
          </w:tcPr>
          <w:p w14:paraId="38527311" w14:textId="77777777" w:rsidR="002F7C58" w:rsidRPr="003A398F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F7C58" w14:paraId="1593CC13" w14:textId="77777777" w:rsidTr="00722645">
        <w:trPr>
          <w:trHeight w:val="1304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1CA94CEC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25F8B874" w14:textId="77777777" w:rsidR="002F7C58" w:rsidRPr="00E43CF6" w:rsidRDefault="002F7C58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198" w:type="dxa"/>
              <w:left w:w="369" w:type="dxa"/>
              <w:bottom w:w="198" w:type="dxa"/>
              <w:right w:w="255" w:type="dxa"/>
            </w:tcMar>
          </w:tcPr>
          <w:p w14:paraId="6E3C8007" w14:textId="273C9432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Educate Families About the Program</w:t>
            </w:r>
          </w:p>
          <w:p w14:paraId="248175E0" w14:textId="5EF091C2" w:rsidR="00881D26" w:rsidRPr="00C2644C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Provide informational sessions or workshops to educate families about the Special Olympics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rogram, its goals, activities, benefits, and ways they can support their athletes. Address any questions or concerns they may have.</w:t>
            </w:r>
          </w:p>
        </w:tc>
      </w:tr>
      <w:tr w:rsidR="002F7C58" w14:paraId="70F95F4D" w14:textId="77777777" w:rsidTr="00881D26">
        <w:trPr>
          <w:trHeight w:val="227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6208A322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</w:tcBorders>
          </w:tcPr>
          <w:p w14:paraId="00672BF8" w14:textId="77777777" w:rsidR="002F7C58" w:rsidRPr="003A398F" w:rsidRDefault="002F7C58" w:rsidP="003C5820">
            <w:pPr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F7F5E8"/>
              <w:bottom w:val="single" w:sz="18" w:space="0" w:color="F7F5E8"/>
            </w:tcBorders>
            <w:tcMar>
              <w:left w:w="369" w:type="dxa"/>
              <w:right w:w="255" w:type="dxa"/>
            </w:tcMar>
          </w:tcPr>
          <w:p w14:paraId="110E69B1" w14:textId="77777777" w:rsidR="002F7C58" w:rsidRPr="003A398F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F7C58" w14:paraId="5AAD10B6" w14:textId="77777777" w:rsidTr="00722645">
        <w:trPr>
          <w:trHeight w:val="1531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29C9F76E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425F693" w14:textId="77777777" w:rsidR="002F7C58" w:rsidRPr="00E43CF6" w:rsidRDefault="002F7C58" w:rsidP="003C5820">
            <w:pPr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8"/>
                <w:szCs w:val="28"/>
              </w:rPr>
            </w:pPr>
            <w:r w:rsidRPr="00E43CF6"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198" w:type="dxa"/>
              <w:left w:w="369" w:type="dxa"/>
              <w:bottom w:w="198" w:type="dxa"/>
              <w:right w:w="255" w:type="dxa"/>
            </w:tcMar>
          </w:tcPr>
          <w:p w14:paraId="096D0E02" w14:textId="77777777" w:rsidR="000012E1" w:rsidRDefault="002F7C58" w:rsidP="000012E1">
            <w:pPr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Involve Families in Planning</w:t>
            </w:r>
          </w:p>
          <w:p w14:paraId="7B5CF47A" w14:textId="3DE15B01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and Decision-Making</w:t>
            </w:r>
          </w:p>
          <w:p w14:paraId="37CD5119" w14:textId="174F5A5E" w:rsidR="002F7C58" w:rsidRPr="002F7C58" w:rsidRDefault="002F7C58" w:rsidP="003C5820">
            <w:pPr>
              <w:spacing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Encourage families to actively participate in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rogram planning and decision-making processes. Include them in discussions about events, activities, and strategies to enhance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rogram.</w:t>
            </w:r>
          </w:p>
        </w:tc>
      </w:tr>
      <w:tr w:rsidR="002F7C58" w14:paraId="534E4DBF" w14:textId="77777777" w:rsidTr="00881D26">
        <w:trPr>
          <w:trHeight w:val="227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5BFB81A3" w14:textId="77777777" w:rsidR="002F7C58" w:rsidRPr="002F7C58" w:rsidRDefault="002F7C58" w:rsidP="002F7C58">
            <w:pPr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</w:tcBorders>
            <w:shd w:val="clear" w:color="auto" w:fill="FFFFFF" w:themeFill="background1"/>
          </w:tcPr>
          <w:p w14:paraId="5AA931D7" w14:textId="77777777" w:rsidR="002F7C58" w:rsidRPr="002F7C58" w:rsidRDefault="002F7C58" w:rsidP="002F7C58">
            <w:pPr>
              <w:jc w:val="center"/>
              <w:rPr>
                <w:rFonts w:ascii="Ubuntu" w:hAnsi="Ubuntu" w:cs="Ubuntu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8" w:space="0" w:color="F7F5E8"/>
              <w:left w:val="nil"/>
              <w:bottom w:val="single" w:sz="18" w:space="0" w:color="F7F5E8"/>
              <w:right w:val="single" w:sz="18" w:space="0" w:color="F7F5E8"/>
            </w:tcBorders>
            <w:tcMar>
              <w:top w:w="0" w:type="dxa"/>
              <w:left w:w="369" w:type="dxa"/>
              <w:bottom w:w="0" w:type="dxa"/>
              <w:right w:w="255" w:type="dxa"/>
            </w:tcMar>
          </w:tcPr>
          <w:p w14:paraId="27E9E6F7" w14:textId="77777777" w:rsidR="002F7C58" w:rsidRPr="002F7C58" w:rsidRDefault="002F7C58" w:rsidP="002F7C58">
            <w:pPr>
              <w:rPr>
                <w:rFonts w:ascii="Ubuntu" w:hAnsi="Ubuntu"/>
                <w:b/>
                <w:bCs/>
                <w:color w:val="F6891F"/>
                <w:sz w:val="18"/>
                <w:szCs w:val="18"/>
              </w:rPr>
            </w:pPr>
          </w:p>
        </w:tc>
      </w:tr>
      <w:tr w:rsidR="002F7C58" w14:paraId="402993F4" w14:textId="77777777" w:rsidTr="00722645">
        <w:trPr>
          <w:trHeight w:val="1587"/>
        </w:trPr>
        <w:tc>
          <w:tcPr>
            <w:tcW w:w="4111" w:type="dxa"/>
            <w:vMerge/>
            <w:tcBorders>
              <w:top w:val="single" w:sz="4" w:space="0" w:color="F6891F"/>
            </w:tcBorders>
          </w:tcPr>
          <w:p w14:paraId="7ED35826" w14:textId="77777777" w:rsidR="002F7C58" w:rsidRPr="002473CA" w:rsidRDefault="002F7C58" w:rsidP="003C5820">
            <w:pPr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67" w:type="dxa"/>
            <w:tcBorders>
              <w:top w:val="single" w:sz="18" w:space="0" w:color="292662"/>
              <w:left w:val="nil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0CE999E7" w14:textId="221C64B2" w:rsidR="002F7C58" w:rsidRPr="00E43CF6" w:rsidRDefault="002F7C58" w:rsidP="003C5820">
            <w:pPr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198" w:type="dxa"/>
              <w:left w:w="369" w:type="dxa"/>
              <w:bottom w:w="198" w:type="dxa"/>
              <w:right w:w="255" w:type="dxa"/>
            </w:tcMar>
          </w:tcPr>
          <w:p w14:paraId="28002962" w14:textId="15FA00F3" w:rsidR="002F7C58" w:rsidRDefault="002F7C58" w:rsidP="000012E1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Organize Family Events and Workshops</w:t>
            </w:r>
          </w:p>
          <w:p w14:paraId="78C1DC33" w14:textId="772D7284" w:rsidR="002F7C58" w:rsidRDefault="002F7C58" w:rsidP="00DA6FAC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Arrange events specifically designed for families to engage with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rogram, such as Family Health Forums, family sports days, workshops on adaptive sports, or</w:t>
            </w:r>
            <w:r>
              <w:rPr>
                <w:rFonts w:ascii="Ubuntu Light" w:hAnsi="Ubuntu Light"/>
                <w:color w:val="292662"/>
                <w:sz w:val="18"/>
                <w:szCs w:val="18"/>
              </w:rPr>
              <w:t xml:space="preserve"> 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informational sessions about disability advocacy. These events can foster a sense of community and understanding.</w:t>
            </w:r>
          </w:p>
        </w:tc>
      </w:tr>
    </w:tbl>
    <w:p w14:paraId="3C66EDC9" w14:textId="77777777" w:rsidR="002C2C1E" w:rsidRDefault="002C2C1E" w:rsidP="002C2C1E">
      <w:pPr>
        <w:ind w:left="4253"/>
        <w:rPr>
          <w:rFonts w:ascii="Ubuntu" w:hAnsi="Ubuntu" w:cs="Ubuntu"/>
          <w:color w:val="292662"/>
          <w:kern w:val="0"/>
        </w:rPr>
      </w:pPr>
    </w:p>
    <w:p w14:paraId="53BCFF6D" w14:textId="77777777" w:rsidR="002C2C1E" w:rsidRDefault="002C2C1E" w:rsidP="002C2C1E">
      <w:pPr>
        <w:rPr>
          <w:rFonts w:ascii="Ubuntu" w:hAnsi="Ubuntu" w:cs="Ubuntu"/>
          <w:color w:val="292662"/>
          <w:kern w:val="0"/>
        </w:rPr>
      </w:pPr>
      <w:r>
        <w:rPr>
          <w:rFonts w:ascii="Ubuntu" w:hAnsi="Ubuntu" w:cs="Ubuntu"/>
          <w:color w:val="292662"/>
          <w:kern w:val="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75"/>
        <w:gridCol w:w="549"/>
        <w:gridCol w:w="535"/>
        <w:gridCol w:w="4293"/>
      </w:tblGrid>
      <w:tr w:rsidR="002C2C1E" w14:paraId="0F3BCD85" w14:textId="77777777" w:rsidTr="000012E1">
        <w:trPr>
          <w:trHeight w:val="2017"/>
        </w:trPr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149FD669" w14:textId="264065EC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75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508F9C6F" w14:textId="6148623D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Provide Volunteer Opportunities</w:t>
            </w:r>
          </w:p>
          <w:p w14:paraId="0BD16305" w14:textId="022AB2C8" w:rsidR="002C2C1E" w:rsidRPr="00C4461A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Offer volunteer opportunities within the Special Olympics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 for family members. This could include assisting during events, coaching, fundraising, or helping with administrative tasks.</w:t>
            </w:r>
          </w:p>
        </w:tc>
        <w:tc>
          <w:tcPr>
            <w:tcW w:w="549" w:type="dxa"/>
            <w:tcBorders>
              <w:left w:val="single" w:sz="18" w:space="0" w:color="F7F5E8"/>
              <w:right w:val="single" w:sz="18" w:space="0" w:color="292662"/>
            </w:tcBorders>
          </w:tcPr>
          <w:p w14:paraId="7AD07288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29C6C2B2" w14:textId="1136497C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1235BD1A" w14:textId="77777777" w:rsidR="000012E1" w:rsidRDefault="002F7C58" w:rsidP="000012E1">
            <w:pPr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Establish a Family</w:t>
            </w:r>
          </w:p>
          <w:p w14:paraId="5DEE8903" w14:textId="7783B14D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Leadership Council</w:t>
            </w:r>
          </w:p>
          <w:p w14:paraId="19E55D5F" w14:textId="55B10C09" w:rsidR="002C2C1E" w:rsidRPr="00C4461A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Create a local Family Leadership Council comprised of family representatives. This group can provide valuable insights, feedback, and suggestions to enhance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 and ensure it meets the needs of athletes and their families.</w:t>
            </w:r>
          </w:p>
        </w:tc>
      </w:tr>
      <w:tr w:rsidR="002C2C1E" w14:paraId="229C5347" w14:textId="77777777" w:rsidTr="000012E1">
        <w:trPr>
          <w:trHeight w:val="283"/>
        </w:trPr>
        <w:tc>
          <w:tcPr>
            <w:tcW w:w="535" w:type="dxa"/>
            <w:tcBorders>
              <w:top w:val="single" w:sz="18" w:space="0" w:color="292662"/>
              <w:bottom w:val="single" w:sz="18" w:space="0" w:color="292662"/>
            </w:tcBorders>
          </w:tcPr>
          <w:p w14:paraId="04483027" w14:textId="77777777" w:rsidR="002C2C1E" w:rsidRPr="001270C5" w:rsidRDefault="002C2C1E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  <w:right w:w="255" w:type="dxa"/>
            </w:tcMar>
          </w:tcPr>
          <w:p w14:paraId="606BEA8F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49" w:type="dxa"/>
          </w:tcPr>
          <w:p w14:paraId="2712581A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8" w:space="0" w:color="292662"/>
              <w:bottom w:val="single" w:sz="18" w:space="0" w:color="292662"/>
            </w:tcBorders>
          </w:tcPr>
          <w:p w14:paraId="05CAA35B" w14:textId="77777777" w:rsidR="002C2C1E" w:rsidRPr="001270C5" w:rsidRDefault="002C2C1E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  <w:right w:w="255" w:type="dxa"/>
            </w:tcMar>
          </w:tcPr>
          <w:p w14:paraId="49E99F97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6153013C" w14:textId="77777777" w:rsidTr="000012E1">
        <w:trPr>
          <w:trHeight w:val="1650"/>
        </w:trPr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62338217" w14:textId="6E2EF27C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6D128824" w14:textId="3BF9DA6B" w:rsidR="002C2C1E" w:rsidRPr="0036411B" w:rsidRDefault="002F7C58" w:rsidP="003C5820">
            <w:pPr>
              <w:spacing w:after="60" w:line="264" w:lineRule="auto"/>
              <w:rPr>
                <w:rFonts w:ascii="Ubuntu" w:hAnsi="Ubuntu"/>
                <w:b/>
                <w:bCs/>
                <w:color w:val="F6891F"/>
              </w:rPr>
            </w:pPr>
            <w:r>
              <w:rPr>
                <w:rFonts w:ascii="Ubuntu" w:hAnsi="Ubuntu"/>
                <w:b/>
                <w:bCs/>
                <w:color w:val="F6891F"/>
              </w:rPr>
              <w:t>Gather Feedback and Input</w:t>
            </w:r>
          </w:p>
          <w:p w14:paraId="7AFDBA78" w14:textId="7C313C46" w:rsidR="002C2C1E" w:rsidRPr="00C4461A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Regularly seek feedback from families about their experiences with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rogram. Use surveys, interviews, or focus groups to understand their perspectives and suggestions for improvement.</w:t>
            </w:r>
          </w:p>
        </w:tc>
        <w:tc>
          <w:tcPr>
            <w:tcW w:w="549" w:type="dxa"/>
            <w:tcBorders>
              <w:left w:val="single" w:sz="18" w:space="0" w:color="F7F5E8"/>
              <w:right w:val="single" w:sz="18" w:space="0" w:color="292662"/>
            </w:tcBorders>
          </w:tcPr>
          <w:p w14:paraId="72E79549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39570FED" w14:textId="5F6469B9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337BF9DA" w14:textId="77777777" w:rsidR="000012E1" w:rsidRDefault="002F7C58" w:rsidP="000012E1">
            <w:pPr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Address Concerns</w:t>
            </w:r>
          </w:p>
          <w:p w14:paraId="5ABDF7B1" w14:textId="423983A4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and Challenges Promptly</w:t>
            </w:r>
          </w:p>
          <w:p w14:paraId="22B6FEA0" w14:textId="7DA5BFDA" w:rsidR="002C2C1E" w:rsidRPr="00CA2880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Actively address any concerns or challenges raised by families. Show responsiveness and willingness to address issues and make necessary improvements</w:t>
            </w:r>
          </w:p>
        </w:tc>
      </w:tr>
      <w:tr w:rsidR="002C2C1E" w14:paraId="5A9C8E65" w14:textId="77777777" w:rsidTr="000012E1">
        <w:trPr>
          <w:trHeight w:val="283"/>
        </w:trPr>
        <w:tc>
          <w:tcPr>
            <w:tcW w:w="535" w:type="dxa"/>
            <w:tcBorders>
              <w:top w:val="single" w:sz="18" w:space="0" w:color="292662"/>
              <w:bottom w:val="single" w:sz="18" w:space="0" w:color="292662"/>
            </w:tcBorders>
          </w:tcPr>
          <w:p w14:paraId="48635514" w14:textId="77777777" w:rsidR="002C2C1E" w:rsidRPr="001270C5" w:rsidRDefault="002C2C1E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  <w:right w:w="255" w:type="dxa"/>
            </w:tcMar>
          </w:tcPr>
          <w:p w14:paraId="25C3CAE4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49" w:type="dxa"/>
          </w:tcPr>
          <w:p w14:paraId="634B5282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8" w:space="0" w:color="292662"/>
              <w:bottom w:val="single" w:sz="18" w:space="0" w:color="292662"/>
            </w:tcBorders>
          </w:tcPr>
          <w:p w14:paraId="5BA94295" w14:textId="77777777" w:rsidR="002C2C1E" w:rsidRPr="001270C5" w:rsidRDefault="002C2C1E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18" w:space="0" w:color="F7F5E8"/>
              <w:bottom w:val="single" w:sz="18" w:space="0" w:color="F7F5E8"/>
            </w:tcBorders>
            <w:tcMar>
              <w:left w:w="312" w:type="dxa"/>
              <w:right w:w="284" w:type="dxa"/>
            </w:tcMar>
          </w:tcPr>
          <w:p w14:paraId="076C238D" w14:textId="77777777" w:rsidR="002C2C1E" w:rsidRPr="001270C5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2C2C1E" w14:paraId="2BA8F8B9" w14:textId="77777777" w:rsidTr="000012E1">
        <w:trPr>
          <w:trHeight w:val="1962"/>
        </w:trPr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30F9F0B" w14:textId="0983E169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shd w:val="clear" w:color="auto" w:fill="F7F5E8"/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507BA8CB" w14:textId="77777777" w:rsidR="000012E1" w:rsidRDefault="002F7C58" w:rsidP="000012E1">
            <w:pPr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Recognize and Appreciate</w:t>
            </w:r>
          </w:p>
          <w:p w14:paraId="3F855E0B" w14:textId="0C6D1999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Family Contributions</w:t>
            </w:r>
          </w:p>
          <w:p w14:paraId="67A41565" w14:textId="319B71BF" w:rsidR="002C2C1E" w:rsidRPr="00C4461A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 xml:space="preserve">Acknowledge and celebrate the contributions of families to the </w:t>
            </w:r>
            <w:r w:rsidR="00B773E5">
              <w:rPr>
                <w:rFonts w:ascii="Ubuntu Light" w:hAnsi="Ubuntu Light"/>
                <w:color w:val="292662"/>
                <w:sz w:val="18"/>
                <w:szCs w:val="18"/>
              </w:rPr>
              <w:t>P</w:t>
            </w: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rogram. Recognize their efforts and express gratitude for their involvement and support.</w:t>
            </w:r>
          </w:p>
        </w:tc>
        <w:tc>
          <w:tcPr>
            <w:tcW w:w="549" w:type="dxa"/>
            <w:tcBorders>
              <w:left w:val="single" w:sz="18" w:space="0" w:color="F7F5E8"/>
              <w:right w:val="single" w:sz="18" w:space="0" w:color="292662"/>
            </w:tcBorders>
          </w:tcPr>
          <w:p w14:paraId="1CD5AA1F" w14:textId="77777777" w:rsidR="002C2C1E" w:rsidRDefault="002C2C1E" w:rsidP="003C5820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535" w:type="dxa"/>
            <w:tcBorders>
              <w:top w:val="single" w:sz="18" w:space="0" w:color="292662"/>
              <w:left w:val="single" w:sz="18" w:space="0" w:color="292662"/>
              <w:bottom w:val="single" w:sz="18" w:space="0" w:color="292662"/>
              <w:right w:val="single" w:sz="18" w:space="0" w:color="292662"/>
            </w:tcBorders>
            <w:shd w:val="clear" w:color="auto" w:fill="292662"/>
          </w:tcPr>
          <w:p w14:paraId="4BEC265A" w14:textId="5AC259E4" w:rsidR="002C2C1E" w:rsidRPr="00C4461A" w:rsidRDefault="002F7C58" w:rsidP="002F7C58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  <w:sz w:val="28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18" w:space="0" w:color="F7F5E8"/>
              <w:left w:val="single" w:sz="18" w:space="0" w:color="292662"/>
              <w:bottom w:val="single" w:sz="18" w:space="0" w:color="F7F5E8"/>
              <w:right w:val="single" w:sz="18" w:space="0" w:color="F7F5E8"/>
            </w:tcBorders>
            <w:tcMar>
              <w:top w:w="255" w:type="dxa"/>
              <w:left w:w="312" w:type="dxa"/>
              <w:bottom w:w="255" w:type="dxa"/>
              <w:right w:w="255" w:type="dxa"/>
            </w:tcMar>
          </w:tcPr>
          <w:p w14:paraId="29F5FACF" w14:textId="77777777" w:rsidR="000012E1" w:rsidRDefault="002F7C58" w:rsidP="000012E1">
            <w:pPr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Monitor Progress</w:t>
            </w:r>
          </w:p>
          <w:p w14:paraId="57384993" w14:textId="65D4A620" w:rsidR="002F7C58" w:rsidRDefault="002F7C58" w:rsidP="000012E1">
            <w:pPr>
              <w:spacing w:after="60" w:line="288" w:lineRule="auto"/>
              <w:rPr>
                <w:rFonts w:ascii="Ubuntu" w:hAnsi="Ubuntu"/>
                <w:b/>
                <w:bCs/>
                <w:color w:val="F6891F"/>
              </w:rPr>
            </w:pPr>
            <w:r w:rsidRPr="002F7C58">
              <w:rPr>
                <w:rFonts w:ascii="Ubuntu" w:hAnsi="Ubuntu"/>
                <w:b/>
                <w:bCs/>
                <w:color w:val="F6891F"/>
              </w:rPr>
              <w:t>and Adjust Strategies</w:t>
            </w:r>
          </w:p>
          <w:p w14:paraId="2A983153" w14:textId="5902B074" w:rsidR="002C2C1E" w:rsidRPr="00C4461A" w:rsidRDefault="002F7C58" w:rsidP="003C5820">
            <w:pPr>
              <w:spacing w:line="288" w:lineRule="auto"/>
              <w:rPr>
                <w:rFonts w:ascii="Ubuntu Light" w:hAnsi="Ubuntu Light"/>
                <w:color w:val="292662"/>
                <w:sz w:val="18"/>
                <w:szCs w:val="18"/>
              </w:rPr>
            </w:pPr>
            <w:r w:rsidRPr="002F7C58">
              <w:rPr>
                <w:rFonts w:ascii="Ubuntu Light" w:hAnsi="Ubuntu Light"/>
                <w:color w:val="292662"/>
                <w:sz w:val="18"/>
                <w:szCs w:val="18"/>
              </w:rPr>
              <w:t>Continuously monitor the impact of your family engagement strategies. Evaluate progress, learn from successes and challenges, and adjust your approaches accordingly to continually improve engagement and meet quality standards.</w:t>
            </w:r>
          </w:p>
        </w:tc>
      </w:tr>
    </w:tbl>
    <w:p w14:paraId="240E0564" w14:textId="77777777" w:rsidR="002C2C1E" w:rsidRDefault="002C2C1E" w:rsidP="002C2C1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p w14:paraId="48F1A2E5" w14:textId="02A1098A" w:rsidR="002C2C1E" w:rsidRPr="000012E1" w:rsidRDefault="000012E1" w:rsidP="000012E1">
      <w:pPr>
        <w:spacing w:after="120" w:line="288" w:lineRule="auto"/>
        <w:rPr>
          <w:rFonts w:ascii="Ubuntu Light" w:hAnsi="Ubuntu Light"/>
        </w:rPr>
      </w:pPr>
      <w:r w:rsidRPr="000012E1">
        <w:rPr>
          <w:rFonts w:ascii="Ubuntu Light" w:hAnsi="Ubuntu Light"/>
        </w:rPr>
        <w:t xml:space="preserve">By implementing these strategies and fostering strong collaboration between the Special Olympics </w:t>
      </w:r>
      <w:r w:rsidR="00B773E5">
        <w:rPr>
          <w:rFonts w:ascii="Ubuntu Light" w:hAnsi="Ubuntu Light"/>
        </w:rPr>
        <w:t>P</w:t>
      </w:r>
      <w:r w:rsidRPr="000012E1">
        <w:rPr>
          <w:rFonts w:ascii="Ubuntu Light" w:hAnsi="Ubuntu Light"/>
        </w:rPr>
        <w:t xml:space="preserve">rogram and families, you can improve family engagement and contribute to the overall success and quality of the </w:t>
      </w:r>
      <w:r w:rsidR="00B773E5">
        <w:rPr>
          <w:rFonts w:ascii="Ubuntu Light" w:hAnsi="Ubuntu Light"/>
        </w:rPr>
        <w:t>P</w:t>
      </w:r>
      <w:r w:rsidRPr="000012E1">
        <w:rPr>
          <w:rFonts w:ascii="Ubuntu Light" w:hAnsi="Ubuntu Light"/>
        </w:rPr>
        <w:t>rogram.</w:t>
      </w:r>
    </w:p>
    <w:p w14:paraId="4A159B97" w14:textId="5D4D4427" w:rsidR="00F14E96" w:rsidRDefault="00F14E96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2136CFBC" w14:textId="3E153C29" w:rsidR="00FC7AFB" w:rsidRPr="00134039" w:rsidRDefault="00FC7AFB" w:rsidP="001B2A8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sectPr w:rsidR="00FC7AFB" w:rsidRPr="00134039" w:rsidSect="007F0373">
      <w:headerReference w:type="default" r:id="rId7"/>
      <w:headerReference w:type="first" r:id="rId8"/>
      <w:footerReference w:type="first" r:id="rId9"/>
      <w:pgSz w:w="11906" w:h="16838" w:code="9"/>
      <w:pgMar w:top="1843" w:right="851" w:bottom="873" w:left="822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B520" w14:textId="77777777" w:rsidR="007F0373" w:rsidRDefault="007F0373" w:rsidP="001B2A8E">
      <w:pPr>
        <w:spacing w:after="0" w:line="240" w:lineRule="auto"/>
      </w:pPr>
      <w:r>
        <w:separator/>
      </w:r>
    </w:p>
  </w:endnote>
  <w:endnote w:type="continuationSeparator" w:id="0">
    <w:p w14:paraId="3806847C" w14:textId="77777777" w:rsidR="007F0373" w:rsidRDefault="007F0373" w:rsidP="001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8D8B" w14:textId="28B4AA61" w:rsidR="003A398F" w:rsidRDefault="003A398F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DECBEB" wp14:editId="1FE63C2B">
          <wp:simplePos x="0" y="0"/>
          <wp:positionH relativeFrom="column">
            <wp:posOffset>2978785</wp:posOffset>
          </wp:positionH>
          <wp:positionV relativeFrom="paragraph">
            <wp:posOffset>-250190</wp:posOffset>
          </wp:positionV>
          <wp:extent cx="220646" cy="360000"/>
          <wp:effectExtent l="0" t="0" r="8255" b="2540"/>
          <wp:wrapNone/>
          <wp:docPr id="72509929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01513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4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53FF" w14:textId="77777777" w:rsidR="007F0373" w:rsidRDefault="007F0373" w:rsidP="001B2A8E">
      <w:pPr>
        <w:spacing w:after="0" w:line="240" w:lineRule="auto"/>
      </w:pPr>
      <w:r>
        <w:separator/>
      </w:r>
    </w:p>
  </w:footnote>
  <w:footnote w:type="continuationSeparator" w:id="0">
    <w:p w14:paraId="1468EF94" w14:textId="77777777" w:rsidR="007F0373" w:rsidRDefault="007F0373" w:rsidP="001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8FB" w14:textId="2D6005D8" w:rsidR="001B2A8E" w:rsidRDefault="001B2A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61F7E" wp14:editId="6CDBE1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1083940616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896353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06B0" w14:textId="5CA00CD8" w:rsidR="003A07A3" w:rsidRDefault="00DB7DE5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6BDEEA2" wp14:editId="7505D042">
          <wp:simplePos x="0" y="0"/>
          <wp:positionH relativeFrom="column">
            <wp:posOffset>74930</wp:posOffset>
          </wp:positionH>
          <wp:positionV relativeFrom="paragraph">
            <wp:posOffset>2743200</wp:posOffset>
          </wp:positionV>
          <wp:extent cx="2302387" cy="5080000"/>
          <wp:effectExtent l="0" t="0" r="3175" b="6350"/>
          <wp:wrapNone/>
          <wp:docPr id="1796376995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37699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387" cy="5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DE5">
      <w:t>292662</w:t>
    </w:r>
    <w:r w:rsidRPr="00DB7DE5">
      <w:rPr>
        <w:noProof/>
      </w:rPr>
      <w:t xml:space="preserve"> </w:t>
    </w:r>
    <w:r w:rsidR="003A07A3">
      <w:rPr>
        <w:noProof/>
      </w:rPr>
      <w:drawing>
        <wp:anchor distT="0" distB="0" distL="114300" distR="114300" simplePos="0" relativeHeight="251663360" behindDoc="0" locked="0" layoutInCell="1" allowOverlap="1" wp14:anchorId="1EED6188" wp14:editId="3ED9E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71449546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667064" name="Graphic 1" descr="Header with Families logo and Special Olympics logo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Artboard 27"/>
      </v:shape>
    </w:pict>
  </w:numPicBullet>
  <w:numPicBullet w:numPicBulletId="1">
    <w:pict>
      <v:shape id="_x0000_i1052" type="#_x0000_t75" style="width:6pt;height:6pt" o:bullet="t">
        <v:imagedata r:id="rId2" o:title="Artboard 28"/>
      </v:shape>
    </w:pict>
  </w:numPicBullet>
  <w:numPicBullet w:numPicBulletId="2">
    <w:pict>
      <v:shape id="_x0000_i1053" type="#_x0000_t75" style="width:3pt;height:3pt" o:bullet="t">
        <v:imagedata r:id="rId3" o:title="Artboard 28"/>
      </v:shape>
    </w:pict>
  </w:numPicBullet>
  <w:numPicBullet w:numPicBulletId="3">
    <w:pict>
      <v:shape id="_x0000_i1054" type="#_x0000_t75" style="width:3pt;height:3pt" o:bullet="t">
        <v:imagedata r:id="rId4" o:title="bulletsimple-21"/>
      </v:shape>
    </w:pict>
  </w:numPicBullet>
  <w:numPicBullet w:numPicBulletId="4">
    <w:pict>
      <v:shape id="_x0000_i1055" type="#_x0000_t75" style="width:3pt;height:3pt" o:bullet="t">
        <v:imagedata r:id="rId5" o:title="bulletsimple-21"/>
      </v:shape>
    </w:pict>
  </w:numPicBullet>
  <w:abstractNum w:abstractNumId="0" w15:restartNumberingAfterBreak="0">
    <w:nsid w:val="01F009B1"/>
    <w:multiLevelType w:val="hybridMultilevel"/>
    <w:tmpl w:val="DBA62822"/>
    <w:lvl w:ilvl="0" w:tplc="336410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EDF"/>
    <w:multiLevelType w:val="hybridMultilevel"/>
    <w:tmpl w:val="4AB0A704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3BAD"/>
    <w:multiLevelType w:val="hybridMultilevel"/>
    <w:tmpl w:val="70D4F1E4"/>
    <w:lvl w:ilvl="0" w:tplc="299E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66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860"/>
    <w:multiLevelType w:val="hybridMultilevel"/>
    <w:tmpl w:val="01C66282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0DF2"/>
    <w:multiLevelType w:val="hybridMultilevel"/>
    <w:tmpl w:val="74A2F660"/>
    <w:lvl w:ilvl="0" w:tplc="7B8622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E5A"/>
    <w:multiLevelType w:val="hybridMultilevel"/>
    <w:tmpl w:val="E320CF9E"/>
    <w:lvl w:ilvl="0" w:tplc="48EE5AFC">
      <w:start w:val="1"/>
      <w:numFmt w:val="bullet"/>
      <w:lvlText w:val=""/>
      <w:lvlJc w:val="left"/>
      <w:pPr>
        <w:ind w:left="720" w:hanging="360"/>
      </w:pPr>
      <w:rPr>
        <w:rFonts w:ascii="Ubuntu" w:hAnsi="Ubuntu" w:hint="default"/>
        <w:color w:val="2926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7881">
    <w:abstractNumId w:val="1"/>
  </w:num>
  <w:num w:numId="2" w16cid:durableId="551649006">
    <w:abstractNumId w:val="4"/>
  </w:num>
  <w:num w:numId="3" w16cid:durableId="239565631">
    <w:abstractNumId w:val="0"/>
  </w:num>
  <w:num w:numId="4" w16cid:durableId="361632561">
    <w:abstractNumId w:val="5"/>
  </w:num>
  <w:num w:numId="5" w16cid:durableId="1301037950">
    <w:abstractNumId w:val="3"/>
  </w:num>
  <w:num w:numId="6" w16cid:durableId="63028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E"/>
    <w:rsid w:val="000012E1"/>
    <w:rsid w:val="000477CF"/>
    <w:rsid w:val="000D58A6"/>
    <w:rsid w:val="000E5343"/>
    <w:rsid w:val="00110A58"/>
    <w:rsid w:val="001270C5"/>
    <w:rsid w:val="00134039"/>
    <w:rsid w:val="001B2A8E"/>
    <w:rsid w:val="00260CF8"/>
    <w:rsid w:val="00263E55"/>
    <w:rsid w:val="002B39E4"/>
    <w:rsid w:val="002C07E0"/>
    <w:rsid w:val="002C2C1E"/>
    <w:rsid w:val="002F7C58"/>
    <w:rsid w:val="0036411B"/>
    <w:rsid w:val="003A07A3"/>
    <w:rsid w:val="003A398F"/>
    <w:rsid w:val="0042050F"/>
    <w:rsid w:val="00425D25"/>
    <w:rsid w:val="00454057"/>
    <w:rsid w:val="00472E68"/>
    <w:rsid w:val="005C6EDE"/>
    <w:rsid w:val="006122E8"/>
    <w:rsid w:val="00617186"/>
    <w:rsid w:val="00690110"/>
    <w:rsid w:val="00722645"/>
    <w:rsid w:val="007544C5"/>
    <w:rsid w:val="00776355"/>
    <w:rsid w:val="00782ECF"/>
    <w:rsid w:val="00791333"/>
    <w:rsid w:val="007D796E"/>
    <w:rsid w:val="007F0373"/>
    <w:rsid w:val="00801B0E"/>
    <w:rsid w:val="00856EF5"/>
    <w:rsid w:val="00881D26"/>
    <w:rsid w:val="00921F9C"/>
    <w:rsid w:val="009957BB"/>
    <w:rsid w:val="00A25F41"/>
    <w:rsid w:val="00AC15A0"/>
    <w:rsid w:val="00AC511E"/>
    <w:rsid w:val="00AD060F"/>
    <w:rsid w:val="00AF7C53"/>
    <w:rsid w:val="00B773E5"/>
    <w:rsid w:val="00B9595E"/>
    <w:rsid w:val="00D03667"/>
    <w:rsid w:val="00D97CFC"/>
    <w:rsid w:val="00DA6FAC"/>
    <w:rsid w:val="00DB7DE5"/>
    <w:rsid w:val="00E26B04"/>
    <w:rsid w:val="00E45B30"/>
    <w:rsid w:val="00EB2990"/>
    <w:rsid w:val="00ED3AAC"/>
    <w:rsid w:val="00EE22D9"/>
    <w:rsid w:val="00F14E96"/>
    <w:rsid w:val="00F20174"/>
    <w:rsid w:val="00FB6126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33C1"/>
  <w15:chartTrackingRefBased/>
  <w15:docId w15:val="{D4A94BB3-6F89-4037-BE21-C239F09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E"/>
  </w:style>
  <w:style w:type="paragraph" w:styleId="Footer">
    <w:name w:val="footer"/>
    <w:basedOn w:val="Normal"/>
    <w:link w:val="Foot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E"/>
  </w:style>
  <w:style w:type="table" w:styleId="TableGrid">
    <w:name w:val="Table Grid"/>
    <w:basedOn w:val="TableNormal"/>
    <w:uiPriority w:val="39"/>
    <w:rsid w:val="00E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9.svg"/><Relationship Id="rId1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Aida Mohajeri</cp:lastModifiedBy>
  <cp:revision>9</cp:revision>
  <dcterms:created xsi:type="dcterms:W3CDTF">2024-02-28T19:36:00Z</dcterms:created>
  <dcterms:modified xsi:type="dcterms:W3CDTF">2024-03-05T01:26:00Z</dcterms:modified>
</cp:coreProperties>
</file>