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F6" w:rsidRPr="002E07F6" w:rsidRDefault="002E07F6" w:rsidP="002E07F6">
      <w:pPr>
        <w:jc w:val="center"/>
        <w:rPr>
          <w:i/>
        </w:rPr>
      </w:pPr>
      <w:r>
        <w:rPr>
          <w:b/>
          <w:u w:val="single"/>
        </w:rPr>
        <w:t>Special Olympics Healthy Communities Criteria</w:t>
      </w:r>
      <w:r>
        <w:t xml:space="preserve"> </w:t>
      </w:r>
      <w:r w:rsidR="000B727A">
        <w:rPr>
          <w:i/>
        </w:rPr>
        <w:t>as of April 2</w:t>
      </w:r>
      <w:r w:rsidR="00F4089C">
        <w:rPr>
          <w:i/>
        </w:rPr>
        <w:t>2</w:t>
      </w:r>
      <w:r>
        <w:rPr>
          <w:i/>
        </w:rPr>
        <w:t>, 2016</w:t>
      </w:r>
    </w:p>
    <w:p w:rsidR="006E09B8" w:rsidRDefault="006E09B8" w:rsidP="006E09B8">
      <w:r>
        <w:t>The vision of the Special Olympics Health program is to create a world where people with intellectual disabilities have the same opportunities to be as healthy as people without intellectual disabilities. To address the barriers - such as lack of access to quality health care, education, resources, and lack of capacity of existing systems of care, in 2012, Special Olympics in partnership with</w:t>
      </w:r>
      <w:r w:rsidR="006F5994">
        <w:t xml:space="preserve"> the</w:t>
      </w:r>
      <w:r>
        <w:t xml:space="preserve"> </w:t>
      </w:r>
      <w:proofErr w:type="spellStart"/>
      <w:r>
        <w:t>Golisano</w:t>
      </w:r>
      <w:proofErr w:type="spellEnd"/>
      <w:r>
        <w:t xml:space="preserve"> </w:t>
      </w:r>
      <w:proofErr w:type="gramStart"/>
      <w:r>
        <w:t>Foundatio</w:t>
      </w:r>
      <w:r w:rsidR="006F5994">
        <w:t>n,</w:t>
      </w:r>
      <w:proofErr w:type="gramEnd"/>
      <w:r w:rsidR="006F5994">
        <w:t xml:space="preserve"> created Healthy Communities.  </w:t>
      </w:r>
      <w:r w:rsidR="007D3BDC">
        <w:t xml:space="preserve">Healthy Communities infuses health across all aspects of Special Olympics programming while working to improve year-round access to quality health care, prevention and wellness programming for people with intellectual disabilities. </w:t>
      </w:r>
      <w:r w:rsidR="006F5994">
        <w:t xml:space="preserve">From 2012 to 2015, Healthy Communities </w:t>
      </w:r>
      <w:r w:rsidR="007D3BDC">
        <w:t>had pilots</w:t>
      </w:r>
      <w:r w:rsidR="006F5994">
        <w:t xml:space="preserve"> in 14 SO Programs around the globe.  </w:t>
      </w:r>
      <w:r w:rsidR="002E07F6">
        <w:t xml:space="preserve">Through learnings from 2012 to 2015 and in collaboration with SO Programs who were part of the Healthy Communities pilot, a set of criteria was developed for </w:t>
      </w:r>
      <w:r w:rsidR="003E5D3E">
        <w:t xml:space="preserve">SO </w:t>
      </w:r>
      <w:r w:rsidR="002E07F6">
        <w:t>Programs to use as a framework that would help them transform their communities and improve the health status of athletes and others with intellectual disabilities.  These</w:t>
      </w:r>
      <w:r>
        <w:t xml:space="preserve"> criteria are meant to serve as a framework </w:t>
      </w:r>
      <w:r w:rsidR="006F5994">
        <w:t>for</w:t>
      </w:r>
      <w:r w:rsidR="002E07F6">
        <w:t xml:space="preserve"> SO</w:t>
      </w:r>
      <w:r w:rsidR="006F5994">
        <w:t xml:space="preserve"> Programs to be able to adapt </w:t>
      </w:r>
      <w:r w:rsidR="003E5D3E">
        <w:t xml:space="preserve">to </w:t>
      </w:r>
      <w:r w:rsidR="006F5994">
        <w:t xml:space="preserve">and address locally relevant health issues, enable </w:t>
      </w:r>
      <w:r w:rsidR="002E07F6">
        <w:t xml:space="preserve">SO </w:t>
      </w:r>
      <w:r w:rsidR="006F5994">
        <w:t>Programs to le</w:t>
      </w:r>
      <w:r w:rsidR="002E07F6">
        <w:t xml:space="preserve">verage their existing strengths, </w:t>
      </w:r>
      <w:r w:rsidR="006F5994">
        <w:t>seek innovative oppor</w:t>
      </w:r>
      <w:r w:rsidR="002E07F6">
        <w:t>tunities and work toward standardized benchmarks to track progress and contribute to the Special Olympics strategic goal of 100 SO Programs becoming Healthy Communities</w:t>
      </w:r>
      <w:r w:rsidR="007D3BDC">
        <w:t xml:space="preserve"> by 2020</w:t>
      </w:r>
      <w:r w:rsidR="002E07F6">
        <w:t xml:space="preserve">. </w:t>
      </w:r>
    </w:p>
    <w:p w:rsidR="00DE715E" w:rsidRDefault="00DE715E" w:rsidP="00DE715E">
      <w:pPr>
        <w:spacing w:after="0"/>
      </w:pPr>
      <w:r w:rsidRPr="00CF08E0">
        <w:rPr>
          <w:b/>
          <w:sz w:val="20"/>
          <w:szCs w:val="20"/>
        </w:rPr>
        <w:t>Healthy Community - Criteria for Recognition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
        <w:gridCol w:w="3206"/>
        <w:gridCol w:w="5854"/>
      </w:tblGrid>
      <w:tr w:rsidR="003C55DB" w:rsidRPr="00CF08E0" w:rsidTr="00430828">
        <w:trPr>
          <w:trHeight w:val="350"/>
        </w:trPr>
        <w:tc>
          <w:tcPr>
            <w:tcW w:w="5000" w:type="pct"/>
            <w:gridSpan w:val="3"/>
            <w:shd w:val="clear" w:color="auto" w:fill="EBF1DE"/>
          </w:tcPr>
          <w:p w:rsidR="009511A4" w:rsidRDefault="009511A4" w:rsidP="009511A4">
            <w:pPr>
              <w:rPr>
                <w:b/>
                <w:sz w:val="20"/>
                <w:szCs w:val="20"/>
              </w:rPr>
            </w:pPr>
            <w:r>
              <w:rPr>
                <w:b/>
                <w:sz w:val="20"/>
                <w:szCs w:val="20"/>
              </w:rPr>
              <w:t>To achieve Healthy Community recognition, all the criteria listed below must be met and reported on</w:t>
            </w:r>
            <w:r w:rsidR="001D7AA6">
              <w:rPr>
                <w:b/>
                <w:sz w:val="20"/>
                <w:szCs w:val="20"/>
              </w:rPr>
              <w:t xml:space="preserve"> annually</w:t>
            </w:r>
            <w:r>
              <w:rPr>
                <w:b/>
                <w:sz w:val="20"/>
                <w:szCs w:val="20"/>
              </w:rPr>
              <w:t xml:space="preserve">. </w:t>
            </w:r>
            <w:r w:rsidR="00E6102D" w:rsidRPr="00E6102D">
              <w:rPr>
                <w:b/>
                <w:sz w:val="20"/>
                <w:szCs w:val="20"/>
              </w:rPr>
              <w:t xml:space="preserve">Criteria 1 and 2 are to be achieved Program-wide. </w:t>
            </w:r>
            <w:r w:rsidR="006E09B8">
              <w:rPr>
                <w:b/>
                <w:sz w:val="20"/>
                <w:szCs w:val="20"/>
              </w:rPr>
              <w:t xml:space="preserve">Criteria </w:t>
            </w:r>
            <w:r w:rsidR="009C2533">
              <w:rPr>
                <w:b/>
                <w:sz w:val="20"/>
                <w:szCs w:val="20"/>
              </w:rPr>
              <w:t>3</w:t>
            </w:r>
            <w:r w:rsidR="006E09B8">
              <w:rPr>
                <w:b/>
                <w:sz w:val="20"/>
                <w:szCs w:val="20"/>
              </w:rPr>
              <w:t xml:space="preserve">, 4, 5 and 6 are to be achieved within the selected geographic area(s). </w:t>
            </w:r>
            <w:r w:rsidR="00367ABA">
              <w:rPr>
                <w:b/>
                <w:sz w:val="20"/>
                <w:szCs w:val="20"/>
              </w:rPr>
              <w:t xml:space="preserve">To maintain Healthy Community Recognition status, </w:t>
            </w:r>
            <w:r w:rsidR="001D7AA6">
              <w:rPr>
                <w:b/>
                <w:sz w:val="20"/>
                <w:szCs w:val="20"/>
              </w:rPr>
              <w:t xml:space="preserve">SO </w:t>
            </w:r>
            <w:r w:rsidR="00367ABA">
              <w:rPr>
                <w:b/>
                <w:sz w:val="20"/>
                <w:szCs w:val="20"/>
              </w:rPr>
              <w:t xml:space="preserve">Programs will need to </w:t>
            </w:r>
            <w:r w:rsidR="006E09B8">
              <w:rPr>
                <w:b/>
                <w:sz w:val="20"/>
                <w:szCs w:val="20"/>
              </w:rPr>
              <w:t>report</w:t>
            </w:r>
            <w:r w:rsidR="009C2533">
              <w:rPr>
                <w:b/>
                <w:sz w:val="20"/>
                <w:szCs w:val="20"/>
              </w:rPr>
              <w:t xml:space="preserve"> on these criteria</w:t>
            </w:r>
            <w:r w:rsidR="00367ABA">
              <w:rPr>
                <w:b/>
                <w:sz w:val="20"/>
                <w:szCs w:val="20"/>
              </w:rPr>
              <w:t xml:space="preserve"> </w:t>
            </w:r>
            <w:r w:rsidR="00765F59">
              <w:rPr>
                <w:b/>
                <w:sz w:val="20"/>
                <w:szCs w:val="20"/>
              </w:rPr>
              <w:t>annually</w:t>
            </w:r>
            <w:r w:rsidR="009C2533">
              <w:rPr>
                <w:b/>
                <w:sz w:val="20"/>
                <w:szCs w:val="20"/>
              </w:rPr>
              <w:t xml:space="preserve"> </w:t>
            </w:r>
            <w:r w:rsidR="0041736F">
              <w:rPr>
                <w:b/>
                <w:sz w:val="20"/>
                <w:szCs w:val="20"/>
              </w:rPr>
              <w:t>(15 April or 15 October)</w:t>
            </w:r>
            <w:r w:rsidR="00765F59">
              <w:rPr>
                <w:b/>
                <w:sz w:val="20"/>
                <w:szCs w:val="20"/>
              </w:rPr>
              <w:t>.</w:t>
            </w:r>
            <w:r w:rsidR="002E07F6">
              <w:rPr>
                <w:b/>
                <w:sz w:val="20"/>
                <w:szCs w:val="20"/>
              </w:rPr>
              <w:t xml:space="preserve"> </w:t>
            </w:r>
          </w:p>
          <w:p w:rsidR="002D179A" w:rsidRPr="00CF08E0" w:rsidRDefault="009511A4" w:rsidP="009511A4">
            <w:pPr>
              <w:rPr>
                <w:b/>
                <w:sz w:val="20"/>
                <w:szCs w:val="20"/>
              </w:rPr>
            </w:pPr>
            <w:r>
              <w:rPr>
                <w:b/>
                <w:sz w:val="20"/>
                <w:szCs w:val="20"/>
              </w:rPr>
              <w:t xml:space="preserve">SO Programs are encouraged to focus their work in geographic area(s) within their SO Program and then apply learnings and successes to additional geographic areas. The minimum requirement for a SO Program to receive Healthy Communities Recognition is one geographic area. As the Healthy Communities work within an SO Program grows into new geographic areas, SO Programs will be required to include those areas in their Healthy Community reports.  </w:t>
            </w:r>
          </w:p>
        </w:tc>
      </w:tr>
      <w:tr w:rsidR="003C55DB" w:rsidRPr="00CF08E0" w:rsidTr="009F6CA7">
        <w:trPr>
          <w:trHeight w:val="323"/>
        </w:trPr>
        <w:tc>
          <w:tcPr>
            <w:tcW w:w="165" w:type="pct"/>
            <w:tcBorders>
              <w:bottom w:val="single" w:sz="4" w:space="0" w:color="auto"/>
            </w:tcBorders>
            <w:shd w:val="clear" w:color="auto" w:fill="EBF1DE"/>
          </w:tcPr>
          <w:p w:rsidR="003C55DB" w:rsidRPr="00CF08E0" w:rsidRDefault="003C55DB" w:rsidP="003C55DB">
            <w:pPr>
              <w:rPr>
                <w:b/>
                <w:sz w:val="20"/>
                <w:szCs w:val="20"/>
              </w:rPr>
            </w:pPr>
          </w:p>
        </w:tc>
        <w:tc>
          <w:tcPr>
            <w:tcW w:w="1711" w:type="pct"/>
            <w:tcBorders>
              <w:bottom w:val="single" w:sz="4" w:space="0" w:color="auto"/>
            </w:tcBorders>
            <w:shd w:val="clear" w:color="auto" w:fill="EBF1DE"/>
            <w:tcMar>
              <w:top w:w="0" w:type="dxa"/>
              <w:left w:w="108" w:type="dxa"/>
              <w:bottom w:w="0" w:type="dxa"/>
              <w:right w:w="108" w:type="dxa"/>
            </w:tcMar>
          </w:tcPr>
          <w:p w:rsidR="003C55DB" w:rsidRPr="00CF08E0" w:rsidRDefault="003C55DB" w:rsidP="003C55DB">
            <w:pPr>
              <w:rPr>
                <w:b/>
                <w:sz w:val="20"/>
                <w:szCs w:val="20"/>
              </w:rPr>
            </w:pPr>
            <w:r w:rsidRPr="00CF08E0">
              <w:rPr>
                <w:b/>
                <w:sz w:val="20"/>
                <w:szCs w:val="20"/>
              </w:rPr>
              <w:t>Criteria</w:t>
            </w:r>
          </w:p>
        </w:tc>
        <w:tc>
          <w:tcPr>
            <w:tcW w:w="3124" w:type="pct"/>
            <w:tcBorders>
              <w:bottom w:val="single" w:sz="4" w:space="0" w:color="auto"/>
            </w:tcBorders>
            <w:shd w:val="clear" w:color="auto" w:fill="EBF1DE"/>
          </w:tcPr>
          <w:p w:rsidR="003C55DB" w:rsidRPr="00CF08E0" w:rsidRDefault="003C55DB" w:rsidP="003C55DB">
            <w:pPr>
              <w:rPr>
                <w:b/>
                <w:sz w:val="20"/>
                <w:szCs w:val="20"/>
              </w:rPr>
            </w:pPr>
            <w:r w:rsidRPr="00CF08E0">
              <w:rPr>
                <w:b/>
                <w:sz w:val="20"/>
                <w:szCs w:val="20"/>
              </w:rPr>
              <w:t>Details</w:t>
            </w:r>
          </w:p>
        </w:tc>
      </w:tr>
      <w:tr w:rsidR="003C55DB" w:rsidRPr="00CF08E0" w:rsidTr="009F6CA7">
        <w:trPr>
          <w:trHeight w:val="530"/>
        </w:trPr>
        <w:tc>
          <w:tcPr>
            <w:tcW w:w="165" w:type="pct"/>
            <w:shd w:val="clear" w:color="auto" w:fill="8DB3E2" w:themeFill="text2" w:themeFillTint="66"/>
          </w:tcPr>
          <w:p w:rsidR="003C55DB" w:rsidRPr="00CF08E0" w:rsidRDefault="003C55DB" w:rsidP="003C55DB">
            <w:pPr>
              <w:rPr>
                <w:sz w:val="20"/>
                <w:szCs w:val="20"/>
              </w:rPr>
            </w:pPr>
            <w:r w:rsidRPr="00CF08E0">
              <w:rPr>
                <w:sz w:val="20"/>
                <w:szCs w:val="20"/>
              </w:rPr>
              <w:t>1</w:t>
            </w:r>
          </w:p>
        </w:tc>
        <w:tc>
          <w:tcPr>
            <w:tcW w:w="1711" w:type="pct"/>
            <w:shd w:val="clear" w:color="auto" w:fill="8DB3E2" w:themeFill="text2" w:themeFillTint="66"/>
            <w:tcMar>
              <w:top w:w="0" w:type="dxa"/>
              <w:left w:w="108" w:type="dxa"/>
              <w:bottom w:w="0" w:type="dxa"/>
              <w:right w:w="108" w:type="dxa"/>
            </w:tcMar>
            <w:hideMark/>
          </w:tcPr>
          <w:p w:rsidR="003C55DB" w:rsidRPr="00CF08E0" w:rsidRDefault="001D7AA6" w:rsidP="00367ABA">
            <w:pPr>
              <w:rPr>
                <w:sz w:val="20"/>
                <w:szCs w:val="20"/>
              </w:rPr>
            </w:pPr>
            <w:r>
              <w:rPr>
                <w:sz w:val="20"/>
                <w:szCs w:val="20"/>
              </w:rPr>
              <w:t xml:space="preserve">SO </w:t>
            </w:r>
            <w:r w:rsidR="003C55DB" w:rsidRPr="00CF08E0">
              <w:rPr>
                <w:sz w:val="20"/>
                <w:szCs w:val="20"/>
              </w:rPr>
              <w:t>Program submits all Special Olympics Healthy Athletes® screening/exam forms according to grant requirements</w:t>
            </w:r>
            <w:r w:rsidR="00B239F8">
              <w:rPr>
                <w:sz w:val="20"/>
                <w:szCs w:val="20"/>
              </w:rPr>
              <w:t>.</w:t>
            </w:r>
          </w:p>
        </w:tc>
        <w:tc>
          <w:tcPr>
            <w:tcW w:w="3124" w:type="pct"/>
            <w:shd w:val="clear" w:color="auto" w:fill="8DB3E2" w:themeFill="text2" w:themeFillTint="66"/>
          </w:tcPr>
          <w:p w:rsidR="00765F59" w:rsidRPr="001D7AA6" w:rsidRDefault="003C55DB" w:rsidP="003C55DB">
            <w:pPr>
              <w:rPr>
                <w:sz w:val="20"/>
                <w:szCs w:val="20"/>
              </w:rPr>
            </w:pPr>
            <w:r w:rsidRPr="00CF08E0">
              <w:rPr>
                <w:sz w:val="20"/>
                <w:szCs w:val="20"/>
              </w:rPr>
              <w:t xml:space="preserve">Results of screenings need to be submitted within 30 days of the event date. </w:t>
            </w:r>
            <w:r w:rsidR="00367ABA">
              <w:rPr>
                <w:sz w:val="20"/>
                <w:szCs w:val="20"/>
              </w:rPr>
              <w:t>If a</w:t>
            </w:r>
            <w:r w:rsidR="001D7AA6">
              <w:rPr>
                <w:sz w:val="20"/>
                <w:szCs w:val="20"/>
              </w:rPr>
              <w:t>n SO</w:t>
            </w:r>
            <w:r w:rsidR="00367ABA">
              <w:rPr>
                <w:sz w:val="20"/>
                <w:szCs w:val="20"/>
              </w:rPr>
              <w:t xml:space="preserve"> Program is not receiving a grant from SOI, they are still encouraged to enter results of their screenings as soon as possible.</w:t>
            </w:r>
          </w:p>
        </w:tc>
      </w:tr>
      <w:tr w:rsidR="00C576A5" w:rsidRPr="00CF08E0" w:rsidTr="009F6CA7">
        <w:trPr>
          <w:trHeight w:val="692"/>
        </w:trPr>
        <w:tc>
          <w:tcPr>
            <w:tcW w:w="165" w:type="pct"/>
            <w:shd w:val="clear" w:color="auto" w:fill="8DB3E2" w:themeFill="text2" w:themeFillTint="66"/>
          </w:tcPr>
          <w:p w:rsidR="00C576A5" w:rsidRPr="00CF08E0" w:rsidRDefault="00C576A5" w:rsidP="00BD0EB1">
            <w:pPr>
              <w:rPr>
                <w:sz w:val="20"/>
                <w:szCs w:val="20"/>
              </w:rPr>
            </w:pPr>
            <w:r>
              <w:rPr>
                <w:sz w:val="20"/>
                <w:szCs w:val="20"/>
              </w:rPr>
              <w:t>2</w:t>
            </w:r>
          </w:p>
        </w:tc>
        <w:tc>
          <w:tcPr>
            <w:tcW w:w="1711" w:type="pct"/>
            <w:shd w:val="clear" w:color="auto" w:fill="8DB3E2" w:themeFill="text2" w:themeFillTint="66"/>
            <w:tcMar>
              <w:top w:w="0" w:type="dxa"/>
              <w:left w:w="108" w:type="dxa"/>
              <w:bottom w:w="0" w:type="dxa"/>
              <w:right w:w="108" w:type="dxa"/>
            </w:tcMar>
          </w:tcPr>
          <w:p w:rsidR="00C576A5" w:rsidRPr="00CF08E0" w:rsidRDefault="001D7AA6" w:rsidP="00BD0EB1">
            <w:pPr>
              <w:rPr>
                <w:sz w:val="20"/>
                <w:szCs w:val="20"/>
              </w:rPr>
            </w:pPr>
            <w:r>
              <w:rPr>
                <w:sz w:val="20"/>
                <w:szCs w:val="20"/>
              </w:rPr>
              <w:t xml:space="preserve">SO </w:t>
            </w:r>
            <w:r w:rsidR="00C576A5" w:rsidRPr="00CF08E0">
              <w:rPr>
                <w:sz w:val="20"/>
                <w:szCs w:val="20"/>
              </w:rPr>
              <w:t>Program locally funds at least 50% of Healthy Athletes event costs</w:t>
            </w:r>
            <w:r w:rsidR="00C576A5">
              <w:rPr>
                <w:sz w:val="20"/>
                <w:szCs w:val="20"/>
              </w:rPr>
              <w:t xml:space="preserve"> across all Healthy Athletes</w:t>
            </w:r>
            <w:r>
              <w:rPr>
                <w:sz w:val="20"/>
                <w:szCs w:val="20"/>
              </w:rPr>
              <w:t>®</w:t>
            </w:r>
            <w:r w:rsidR="00C576A5">
              <w:rPr>
                <w:sz w:val="20"/>
                <w:szCs w:val="20"/>
              </w:rPr>
              <w:t xml:space="preserve"> events within the</w:t>
            </w:r>
            <w:r>
              <w:rPr>
                <w:sz w:val="20"/>
                <w:szCs w:val="20"/>
              </w:rPr>
              <w:t xml:space="preserve"> SO</w:t>
            </w:r>
            <w:r w:rsidR="00C576A5">
              <w:rPr>
                <w:sz w:val="20"/>
                <w:szCs w:val="20"/>
              </w:rPr>
              <w:t xml:space="preserve"> Program.</w:t>
            </w:r>
          </w:p>
        </w:tc>
        <w:tc>
          <w:tcPr>
            <w:tcW w:w="3124" w:type="pct"/>
            <w:shd w:val="clear" w:color="auto" w:fill="8DB3E2" w:themeFill="text2" w:themeFillTint="66"/>
          </w:tcPr>
          <w:p w:rsidR="00C576A5" w:rsidRPr="00CF08E0" w:rsidRDefault="00C576A5" w:rsidP="00BD0EB1">
            <w:pPr>
              <w:rPr>
                <w:sz w:val="20"/>
                <w:szCs w:val="20"/>
              </w:rPr>
            </w:pPr>
            <w:r>
              <w:rPr>
                <w:sz w:val="20"/>
                <w:szCs w:val="20"/>
              </w:rPr>
              <w:t>To meet the criteria, n</w:t>
            </w:r>
            <w:r w:rsidRPr="00CF08E0">
              <w:rPr>
                <w:sz w:val="20"/>
                <w:szCs w:val="20"/>
              </w:rPr>
              <w:t xml:space="preserve">o more than 50% of the costs of running </w:t>
            </w:r>
            <w:r w:rsidR="001D7AA6">
              <w:rPr>
                <w:sz w:val="20"/>
                <w:szCs w:val="20"/>
              </w:rPr>
              <w:t xml:space="preserve">SO </w:t>
            </w:r>
            <w:r>
              <w:rPr>
                <w:sz w:val="20"/>
                <w:szCs w:val="20"/>
              </w:rPr>
              <w:t xml:space="preserve">Program-wide </w:t>
            </w:r>
            <w:proofErr w:type="gramStart"/>
            <w:r w:rsidRPr="00CF08E0">
              <w:rPr>
                <w:sz w:val="20"/>
                <w:szCs w:val="20"/>
              </w:rPr>
              <w:t>Healthy Athletes</w:t>
            </w:r>
            <w:proofErr w:type="gramEnd"/>
            <w:r w:rsidRPr="00CF08E0">
              <w:rPr>
                <w:sz w:val="20"/>
                <w:szCs w:val="20"/>
              </w:rPr>
              <w:t xml:space="preserve"> events can be supported by Special Olympics International grants</w:t>
            </w:r>
            <w:r>
              <w:rPr>
                <w:sz w:val="20"/>
                <w:szCs w:val="20"/>
              </w:rPr>
              <w:t xml:space="preserve">. At least </w:t>
            </w:r>
            <w:r w:rsidRPr="00CF08E0">
              <w:rPr>
                <w:sz w:val="20"/>
                <w:szCs w:val="20"/>
              </w:rPr>
              <w:t>50% of</w:t>
            </w:r>
            <w:r>
              <w:rPr>
                <w:sz w:val="20"/>
                <w:szCs w:val="20"/>
              </w:rPr>
              <w:t xml:space="preserve"> </w:t>
            </w:r>
            <w:r w:rsidR="001D7AA6">
              <w:rPr>
                <w:sz w:val="20"/>
                <w:szCs w:val="20"/>
              </w:rPr>
              <w:t xml:space="preserve">SO </w:t>
            </w:r>
            <w:r>
              <w:rPr>
                <w:sz w:val="20"/>
                <w:szCs w:val="20"/>
              </w:rPr>
              <w:t>Program-wide</w:t>
            </w:r>
            <w:r w:rsidRPr="00CF08E0">
              <w:rPr>
                <w:sz w:val="20"/>
                <w:szCs w:val="20"/>
              </w:rPr>
              <w:t xml:space="preserve"> </w:t>
            </w:r>
            <w:r w:rsidRPr="00B90BBC">
              <w:rPr>
                <w:i/>
                <w:sz w:val="20"/>
                <w:szCs w:val="20"/>
              </w:rPr>
              <w:t xml:space="preserve">Healthy Athletes </w:t>
            </w:r>
            <w:r w:rsidR="00B90BBC" w:rsidRPr="00B90BBC">
              <w:rPr>
                <w:i/>
                <w:sz w:val="20"/>
                <w:szCs w:val="20"/>
              </w:rPr>
              <w:t xml:space="preserve">event </w:t>
            </w:r>
            <w:r w:rsidRPr="00CF08E0">
              <w:rPr>
                <w:sz w:val="20"/>
                <w:szCs w:val="20"/>
              </w:rPr>
              <w:t>costs need to be covered by local grants/sponsorship or value-in-kind (VIK)</w:t>
            </w:r>
            <w:r>
              <w:rPr>
                <w:sz w:val="20"/>
                <w:szCs w:val="20"/>
              </w:rPr>
              <w:t xml:space="preserve"> donations of goods and services such as ren</w:t>
            </w:r>
            <w:r w:rsidR="00B90BBC">
              <w:rPr>
                <w:sz w:val="20"/>
                <w:szCs w:val="20"/>
              </w:rPr>
              <w:t xml:space="preserve">tal space, equipment, giveaways, supplies and </w:t>
            </w:r>
            <w:r>
              <w:rPr>
                <w:sz w:val="20"/>
                <w:szCs w:val="20"/>
              </w:rPr>
              <w:t>materials (not including VIK of volunteer time</w:t>
            </w:r>
            <w:r w:rsidR="00B90BBC">
              <w:rPr>
                <w:sz w:val="20"/>
                <w:szCs w:val="20"/>
              </w:rPr>
              <w:t xml:space="preserve"> or SO Program staff time</w:t>
            </w:r>
            <w:r>
              <w:rPr>
                <w:sz w:val="20"/>
                <w:szCs w:val="20"/>
              </w:rPr>
              <w:t>)</w:t>
            </w:r>
            <w:r w:rsidRPr="00CF08E0">
              <w:rPr>
                <w:sz w:val="20"/>
                <w:szCs w:val="20"/>
              </w:rPr>
              <w:t xml:space="preserve">. </w:t>
            </w:r>
          </w:p>
        </w:tc>
      </w:tr>
      <w:tr w:rsidR="00C576A5" w:rsidRPr="00CF08E0" w:rsidTr="00430828">
        <w:trPr>
          <w:trHeight w:val="692"/>
        </w:trPr>
        <w:tc>
          <w:tcPr>
            <w:tcW w:w="165" w:type="pct"/>
            <w:shd w:val="clear" w:color="auto" w:fill="EBF1DE"/>
          </w:tcPr>
          <w:p w:rsidR="00C576A5" w:rsidRPr="00CF08E0" w:rsidRDefault="009F6CA7" w:rsidP="003C55DB">
            <w:pPr>
              <w:rPr>
                <w:sz w:val="20"/>
                <w:szCs w:val="20"/>
              </w:rPr>
            </w:pPr>
            <w:r>
              <w:rPr>
                <w:sz w:val="20"/>
                <w:szCs w:val="20"/>
              </w:rPr>
              <w:lastRenderedPageBreak/>
              <w:t>3</w:t>
            </w:r>
          </w:p>
        </w:tc>
        <w:tc>
          <w:tcPr>
            <w:tcW w:w="1711" w:type="pct"/>
            <w:shd w:val="clear" w:color="auto" w:fill="EBF1DE"/>
            <w:tcMar>
              <w:top w:w="0" w:type="dxa"/>
              <w:left w:w="108" w:type="dxa"/>
              <w:bottom w:w="0" w:type="dxa"/>
              <w:right w:w="108" w:type="dxa"/>
            </w:tcMar>
            <w:hideMark/>
          </w:tcPr>
          <w:p w:rsidR="00C576A5" w:rsidRPr="00CF08E0" w:rsidRDefault="001D7AA6" w:rsidP="0008235C">
            <w:pPr>
              <w:rPr>
                <w:sz w:val="20"/>
                <w:szCs w:val="20"/>
              </w:rPr>
            </w:pPr>
            <w:r>
              <w:rPr>
                <w:sz w:val="20"/>
                <w:szCs w:val="20"/>
              </w:rPr>
              <w:t xml:space="preserve">SO </w:t>
            </w:r>
            <w:r w:rsidR="00C576A5" w:rsidRPr="00CF08E0">
              <w:rPr>
                <w:sz w:val="20"/>
                <w:szCs w:val="20"/>
              </w:rPr>
              <w:t>Program offers at least three Healthy Athletes</w:t>
            </w:r>
            <w:r>
              <w:rPr>
                <w:sz w:val="20"/>
                <w:szCs w:val="20"/>
              </w:rPr>
              <w:t>®</w:t>
            </w:r>
            <w:r w:rsidR="00C576A5" w:rsidRPr="00CF08E0">
              <w:rPr>
                <w:sz w:val="20"/>
                <w:szCs w:val="20"/>
              </w:rPr>
              <w:t xml:space="preserve"> disciplines per year</w:t>
            </w:r>
            <w:r w:rsidR="00C576A5">
              <w:rPr>
                <w:sz w:val="20"/>
                <w:szCs w:val="20"/>
              </w:rPr>
              <w:t xml:space="preserve"> within the selected Healthy Community geographic area(s) </w:t>
            </w:r>
          </w:p>
        </w:tc>
        <w:tc>
          <w:tcPr>
            <w:tcW w:w="3124" w:type="pct"/>
            <w:shd w:val="clear" w:color="auto" w:fill="EBF1DE"/>
          </w:tcPr>
          <w:p w:rsidR="00C576A5" w:rsidRPr="00B90BBC" w:rsidRDefault="00C576A5" w:rsidP="00DC32F5">
            <w:pPr>
              <w:rPr>
                <w:sz w:val="20"/>
                <w:szCs w:val="20"/>
              </w:rPr>
            </w:pPr>
            <w:r>
              <w:rPr>
                <w:sz w:val="20"/>
                <w:szCs w:val="20"/>
              </w:rPr>
              <w:t>Requires at least 3</w:t>
            </w:r>
            <w:r w:rsidRPr="00CF08E0">
              <w:rPr>
                <w:sz w:val="20"/>
                <w:szCs w:val="20"/>
              </w:rPr>
              <w:t xml:space="preserve"> different disciplines to be implemented at least once per calendar year</w:t>
            </w:r>
            <w:r>
              <w:rPr>
                <w:sz w:val="20"/>
                <w:szCs w:val="20"/>
              </w:rPr>
              <w:t xml:space="preserve"> </w:t>
            </w:r>
            <w:r w:rsidR="00DC32F5">
              <w:rPr>
                <w:sz w:val="20"/>
                <w:szCs w:val="20"/>
              </w:rPr>
              <w:t>resulting in a minimum</w:t>
            </w:r>
            <w:r w:rsidR="00DC32F5" w:rsidRPr="00CF08E0">
              <w:rPr>
                <w:sz w:val="20"/>
                <w:szCs w:val="20"/>
              </w:rPr>
              <w:t xml:space="preserve"> of 150 athlete examinations </w:t>
            </w:r>
            <w:r>
              <w:rPr>
                <w:sz w:val="20"/>
                <w:szCs w:val="20"/>
              </w:rPr>
              <w:t>within the geographic area(s) that the Healthy Community project is focusing</w:t>
            </w:r>
            <w:r w:rsidRPr="00CF08E0">
              <w:rPr>
                <w:sz w:val="20"/>
                <w:szCs w:val="20"/>
              </w:rPr>
              <w:t xml:space="preserve"> to qualify for Healthy Communities. </w:t>
            </w:r>
          </w:p>
        </w:tc>
      </w:tr>
      <w:tr w:rsidR="00C576A5" w:rsidRPr="00CF08E0" w:rsidTr="00430828">
        <w:trPr>
          <w:trHeight w:val="2132"/>
        </w:trPr>
        <w:tc>
          <w:tcPr>
            <w:tcW w:w="165" w:type="pct"/>
            <w:shd w:val="clear" w:color="auto" w:fill="EBF1DE"/>
          </w:tcPr>
          <w:p w:rsidR="00C576A5" w:rsidRPr="00CF08E0" w:rsidRDefault="00C576A5" w:rsidP="003C55DB">
            <w:pPr>
              <w:rPr>
                <w:sz w:val="20"/>
                <w:szCs w:val="20"/>
              </w:rPr>
            </w:pPr>
            <w:r w:rsidRPr="00CF08E0">
              <w:rPr>
                <w:sz w:val="20"/>
                <w:szCs w:val="20"/>
              </w:rPr>
              <w:t>4</w:t>
            </w:r>
          </w:p>
        </w:tc>
        <w:tc>
          <w:tcPr>
            <w:tcW w:w="1711" w:type="pct"/>
            <w:shd w:val="clear" w:color="auto" w:fill="EBF1DE"/>
            <w:tcMar>
              <w:top w:w="0" w:type="dxa"/>
              <w:left w:w="108" w:type="dxa"/>
              <w:bottom w:w="0" w:type="dxa"/>
              <w:right w:w="108" w:type="dxa"/>
            </w:tcMar>
            <w:hideMark/>
          </w:tcPr>
          <w:p w:rsidR="00C576A5" w:rsidRPr="00CF08E0" w:rsidRDefault="00C576A5" w:rsidP="0002147D">
            <w:pPr>
              <w:rPr>
                <w:sz w:val="20"/>
                <w:szCs w:val="20"/>
              </w:rPr>
            </w:pPr>
            <w:r w:rsidRPr="00CF08E0">
              <w:rPr>
                <w:sz w:val="20"/>
                <w:szCs w:val="20"/>
              </w:rPr>
              <w:t>70% of athletes who receive referrals at Healthy Athletes</w:t>
            </w:r>
            <w:r w:rsidR="001D7AA6">
              <w:rPr>
                <w:sz w:val="20"/>
                <w:szCs w:val="20"/>
              </w:rPr>
              <w:t>®</w:t>
            </w:r>
            <w:r w:rsidR="0002147D">
              <w:rPr>
                <w:sz w:val="20"/>
                <w:szCs w:val="20"/>
              </w:rPr>
              <w:t xml:space="preserve"> </w:t>
            </w:r>
            <w:r w:rsidRPr="00E721AD">
              <w:rPr>
                <w:sz w:val="20"/>
                <w:szCs w:val="20"/>
              </w:rPr>
              <w:t xml:space="preserve">within the selected Healthy Community geographic area(s) </w:t>
            </w:r>
            <w:r w:rsidRPr="00CF08E0">
              <w:rPr>
                <w:sz w:val="20"/>
                <w:szCs w:val="20"/>
              </w:rPr>
              <w:t>have a place to go for follow-up care following a Healthy Athletes examination</w:t>
            </w:r>
            <w:r>
              <w:rPr>
                <w:sz w:val="20"/>
                <w:szCs w:val="20"/>
              </w:rPr>
              <w:t>.</w:t>
            </w:r>
            <w:r w:rsidRPr="00CF08E0">
              <w:rPr>
                <w:sz w:val="20"/>
                <w:szCs w:val="20"/>
              </w:rPr>
              <w:t xml:space="preserve"> </w:t>
            </w:r>
          </w:p>
        </w:tc>
        <w:tc>
          <w:tcPr>
            <w:tcW w:w="3124" w:type="pct"/>
            <w:shd w:val="clear" w:color="auto" w:fill="EBF1DE"/>
          </w:tcPr>
          <w:p w:rsidR="00C576A5" w:rsidRDefault="00C576A5" w:rsidP="00E721AD">
            <w:pPr>
              <w:rPr>
                <w:sz w:val="20"/>
                <w:szCs w:val="20"/>
              </w:rPr>
            </w:pPr>
            <w:r w:rsidRPr="00CF08E0">
              <w:rPr>
                <w:sz w:val="20"/>
                <w:szCs w:val="20"/>
              </w:rPr>
              <w:t>Criteria must be met for at least two disciplines per calendar year. For athletes that are given a referral</w:t>
            </w:r>
            <w:r w:rsidR="00321C4E">
              <w:rPr>
                <w:sz w:val="20"/>
                <w:szCs w:val="20"/>
              </w:rPr>
              <w:t xml:space="preserve"> (as indicated on the HAS form)</w:t>
            </w:r>
            <w:r w:rsidRPr="00CF08E0">
              <w:rPr>
                <w:sz w:val="20"/>
                <w:szCs w:val="20"/>
              </w:rPr>
              <w:t>, they either indicate they already have an existing doctor/dentist that they will book an appointment with or the</w:t>
            </w:r>
            <w:r w:rsidR="001D7AA6">
              <w:rPr>
                <w:sz w:val="20"/>
                <w:szCs w:val="20"/>
              </w:rPr>
              <w:t xml:space="preserve"> SO</w:t>
            </w:r>
            <w:r w:rsidRPr="00CF08E0">
              <w:rPr>
                <w:sz w:val="20"/>
                <w:szCs w:val="20"/>
              </w:rPr>
              <w:t xml:space="preserve"> Program </w:t>
            </w:r>
            <w:r>
              <w:rPr>
                <w:sz w:val="20"/>
                <w:szCs w:val="20"/>
              </w:rPr>
              <w:t>connects the athlete</w:t>
            </w:r>
            <w:r w:rsidRPr="00CF08E0">
              <w:rPr>
                <w:sz w:val="20"/>
                <w:szCs w:val="20"/>
              </w:rPr>
              <w:t xml:space="preserve"> to a specific health care provider</w:t>
            </w:r>
            <w:r>
              <w:rPr>
                <w:sz w:val="20"/>
                <w:szCs w:val="20"/>
              </w:rPr>
              <w:t xml:space="preserve">, </w:t>
            </w:r>
            <w:r w:rsidRPr="00CF08E0">
              <w:rPr>
                <w:sz w:val="20"/>
                <w:szCs w:val="20"/>
              </w:rPr>
              <w:t>partner</w:t>
            </w:r>
            <w:r>
              <w:rPr>
                <w:sz w:val="20"/>
                <w:szCs w:val="20"/>
              </w:rPr>
              <w:t>, or place to go to receive the care they need</w:t>
            </w:r>
            <w:r w:rsidRPr="00CF08E0">
              <w:rPr>
                <w:sz w:val="20"/>
                <w:szCs w:val="20"/>
              </w:rPr>
              <w:t>.</w:t>
            </w:r>
            <w:r>
              <w:rPr>
                <w:sz w:val="20"/>
                <w:szCs w:val="20"/>
              </w:rPr>
              <w:t xml:space="preserve"> </w:t>
            </w:r>
          </w:p>
          <w:p w:rsidR="00C576A5" w:rsidRPr="00CF08E0" w:rsidRDefault="00C576A5" w:rsidP="00B239F8">
            <w:pPr>
              <w:rPr>
                <w:sz w:val="20"/>
                <w:szCs w:val="20"/>
              </w:rPr>
            </w:pPr>
            <w:r>
              <w:rPr>
                <w:sz w:val="20"/>
                <w:szCs w:val="20"/>
              </w:rPr>
              <w:t xml:space="preserve">Note: Special Olympics </w:t>
            </w:r>
            <w:proofErr w:type="gramStart"/>
            <w:r>
              <w:rPr>
                <w:sz w:val="20"/>
                <w:szCs w:val="20"/>
              </w:rPr>
              <w:t>wants</w:t>
            </w:r>
            <w:proofErr w:type="gramEnd"/>
            <w:r>
              <w:rPr>
                <w:sz w:val="20"/>
                <w:szCs w:val="20"/>
              </w:rPr>
              <w:t xml:space="preserve"> to</w:t>
            </w:r>
            <w:r w:rsidRPr="00B239F8">
              <w:rPr>
                <w:sz w:val="20"/>
                <w:szCs w:val="20"/>
              </w:rPr>
              <w:t xml:space="preserve"> ensure as many at</w:t>
            </w:r>
            <w:r>
              <w:rPr>
                <w:sz w:val="20"/>
                <w:szCs w:val="20"/>
              </w:rPr>
              <w:t xml:space="preserve">hletes receive care as possible. </w:t>
            </w:r>
            <w:r w:rsidR="001D7AA6">
              <w:rPr>
                <w:sz w:val="20"/>
                <w:szCs w:val="20"/>
              </w:rPr>
              <w:t xml:space="preserve">SO </w:t>
            </w:r>
            <w:r>
              <w:rPr>
                <w:sz w:val="20"/>
                <w:szCs w:val="20"/>
              </w:rPr>
              <w:t xml:space="preserve">Programs are to establish partnerships to ensure that their athletes have a place to go to receive care for their referrals. </w:t>
            </w:r>
          </w:p>
        </w:tc>
      </w:tr>
      <w:tr w:rsidR="00C576A5" w:rsidRPr="00CF08E0" w:rsidTr="00430828">
        <w:trPr>
          <w:trHeight w:val="2582"/>
        </w:trPr>
        <w:tc>
          <w:tcPr>
            <w:tcW w:w="165" w:type="pct"/>
            <w:shd w:val="clear" w:color="auto" w:fill="EBF1DE"/>
          </w:tcPr>
          <w:p w:rsidR="00C576A5" w:rsidRPr="00CF08E0" w:rsidRDefault="00C576A5" w:rsidP="003C55DB">
            <w:pPr>
              <w:rPr>
                <w:sz w:val="20"/>
                <w:szCs w:val="20"/>
              </w:rPr>
            </w:pPr>
            <w:r w:rsidRPr="00CF08E0">
              <w:rPr>
                <w:sz w:val="20"/>
                <w:szCs w:val="20"/>
              </w:rPr>
              <w:t>5</w:t>
            </w:r>
          </w:p>
        </w:tc>
        <w:tc>
          <w:tcPr>
            <w:tcW w:w="1711" w:type="pct"/>
            <w:shd w:val="clear" w:color="auto" w:fill="EBF1DE"/>
            <w:tcMar>
              <w:top w:w="0" w:type="dxa"/>
              <w:left w:w="108" w:type="dxa"/>
              <w:bottom w:w="0" w:type="dxa"/>
              <w:right w:w="108" w:type="dxa"/>
            </w:tcMar>
            <w:hideMark/>
          </w:tcPr>
          <w:p w:rsidR="00C576A5" w:rsidRPr="00CF08E0" w:rsidRDefault="001D7AA6" w:rsidP="00E87E32">
            <w:pPr>
              <w:rPr>
                <w:sz w:val="20"/>
                <w:szCs w:val="20"/>
              </w:rPr>
            </w:pPr>
            <w:r>
              <w:rPr>
                <w:sz w:val="20"/>
                <w:szCs w:val="20"/>
              </w:rPr>
              <w:t xml:space="preserve">SO </w:t>
            </w:r>
            <w:r w:rsidR="00E87E32">
              <w:rPr>
                <w:sz w:val="20"/>
                <w:szCs w:val="20"/>
              </w:rPr>
              <w:t xml:space="preserve">Program offers health, </w:t>
            </w:r>
            <w:r w:rsidR="00C576A5" w:rsidRPr="001A45C1">
              <w:rPr>
                <w:sz w:val="20"/>
                <w:szCs w:val="20"/>
              </w:rPr>
              <w:t>wellness</w:t>
            </w:r>
            <w:r w:rsidR="00E87E32">
              <w:rPr>
                <w:sz w:val="20"/>
                <w:szCs w:val="20"/>
              </w:rPr>
              <w:t xml:space="preserve"> or fitness</w:t>
            </w:r>
            <w:r w:rsidR="00C576A5" w:rsidRPr="001A45C1">
              <w:rPr>
                <w:sz w:val="20"/>
                <w:szCs w:val="20"/>
              </w:rPr>
              <w:t xml:space="preserve"> programming outside of Healthy Athletes events for athletes involving partners, coaches and/or families as appropriate</w:t>
            </w:r>
            <w:r w:rsidR="0046454D">
              <w:rPr>
                <w:sz w:val="20"/>
                <w:szCs w:val="20"/>
              </w:rPr>
              <w:t xml:space="preserve"> with a </w:t>
            </w:r>
            <w:bookmarkStart w:id="0" w:name="_GoBack"/>
            <w:bookmarkEnd w:id="0"/>
            <w:r w:rsidR="0046454D">
              <w:rPr>
                <w:sz w:val="20"/>
                <w:szCs w:val="20"/>
              </w:rPr>
              <w:t>minimum of</w:t>
            </w:r>
            <w:r w:rsidR="00C576A5" w:rsidRPr="001A45C1">
              <w:rPr>
                <w:sz w:val="20"/>
                <w:szCs w:val="20"/>
              </w:rPr>
              <w:t xml:space="preserve"> 20% of athletes in the </w:t>
            </w:r>
            <w:r>
              <w:rPr>
                <w:sz w:val="20"/>
                <w:szCs w:val="20"/>
              </w:rPr>
              <w:t xml:space="preserve">SO </w:t>
            </w:r>
            <w:r w:rsidR="00C576A5" w:rsidRPr="001A45C1">
              <w:rPr>
                <w:sz w:val="20"/>
                <w:szCs w:val="20"/>
              </w:rPr>
              <w:t xml:space="preserve">Program’s selected geographic focus </w:t>
            </w:r>
            <w:proofErr w:type="gramStart"/>
            <w:r w:rsidR="00C576A5" w:rsidRPr="001A45C1">
              <w:rPr>
                <w:sz w:val="20"/>
                <w:szCs w:val="20"/>
              </w:rPr>
              <w:t>area  enrolled</w:t>
            </w:r>
            <w:proofErr w:type="gramEnd"/>
            <w:r>
              <w:rPr>
                <w:sz w:val="20"/>
                <w:szCs w:val="20"/>
              </w:rPr>
              <w:t xml:space="preserve"> in an ongoing wellness program.</w:t>
            </w:r>
          </w:p>
        </w:tc>
        <w:tc>
          <w:tcPr>
            <w:tcW w:w="3124" w:type="pct"/>
            <w:shd w:val="clear" w:color="auto" w:fill="EBF1DE"/>
          </w:tcPr>
          <w:p w:rsidR="00C576A5" w:rsidRDefault="00E87E32" w:rsidP="003C55DB">
            <w:pPr>
              <w:rPr>
                <w:sz w:val="20"/>
                <w:szCs w:val="20"/>
              </w:rPr>
            </w:pPr>
            <w:r>
              <w:rPr>
                <w:sz w:val="20"/>
                <w:szCs w:val="20"/>
              </w:rPr>
              <w:t>Health, w</w:t>
            </w:r>
            <w:r w:rsidR="00C576A5" w:rsidRPr="00CF08E0">
              <w:rPr>
                <w:sz w:val="20"/>
                <w:szCs w:val="20"/>
              </w:rPr>
              <w:t>ellness</w:t>
            </w:r>
            <w:r>
              <w:rPr>
                <w:sz w:val="20"/>
                <w:szCs w:val="20"/>
              </w:rPr>
              <w:t xml:space="preserve"> or fitness p</w:t>
            </w:r>
            <w:r w:rsidR="00C576A5" w:rsidRPr="00CF08E0">
              <w:rPr>
                <w:sz w:val="20"/>
                <w:szCs w:val="20"/>
              </w:rPr>
              <w:t>rogramming is defined as reoccurring health education and/or engagement to improve health or prevent illness. To qualify, athletes must participate in 6 sessions minimum. For example, this could be nutrition lessons at 6 practices, 6 HIV awareness classes or a 6 week weight management program.</w:t>
            </w:r>
          </w:p>
          <w:p w:rsidR="00C576A5" w:rsidRPr="00CF08E0" w:rsidRDefault="00E87E32" w:rsidP="00E87E32">
            <w:pPr>
              <w:rPr>
                <w:sz w:val="20"/>
                <w:szCs w:val="20"/>
              </w:rPr>
            </w:pPr>
            <w:r>
              <w:rPr>
                <w:sz w:val="20"/>
                <w:szCs w:val="20"/>
              </w:rPr>
              <w:t xml:space="preserve">Note: The health, </w:t>
            </w:r>
            <w:r w:rsidR="00C576A5">
              <w:rPr>
                <w:sz w:val="20"/>
                <w:szCs w:val="20"/>
              </w:rPr>
              <w:t>wellness</w:t>
            </w:r>
            <w:r>
              <w:rPr>
                <w:sz w:val="20"/>
                <w:szCs w:val="20"/>
              </w:rPr>
              <w:t xml:space="preserve"> or fitness</w:t>
            </w:r>
            <w:r w:rsidR="00C576A5">
              <w:rPr>
                <w:sz w:val="20"/>
                <w:szCs w:val="20"/>
              </w:rPr>
              <w:t xml:space="preserve"> programming may occur as part of a sports practice, but it must be an ongoing health activity that is beyond just sports traini</w:t>
            </w:r>
            <w:r w:rsidR="00E936F5">
              <w:rPr>
                <w:sz w:val="20"/>
                <w:szCs w:val="20"/>
              </w:rPr>
              <w:t>ng or sports skills development. These can be organized by the SO Program</w:t>
            </w:r>
            <w:r w:rsidR="00B90BBC" w:rsidRPr="00B90BBC">
              <w:rPr>
                <w:sz w:val="20"/>
                <w:szCs w:val="20"/>
              </w:rPr>
              <w:t xml:space="preserve"> </w:t>
            </w:r>
            <w:r w:rsidR="00E936F5">
              <w:rPr>
                <w:sz w:val="20"/>
                <w:szCs w:val="20"/>
              </w:rPr>
              <w:t>or through a partner</w:t>
            </w:r>
            <w:r w:rsidR="00B90BBC" w:rsidRPr="00B90BBC">
              <w:rPr>
                <w:sz w:val="20"/>
                <w:szCs w:val="20"/>
              </w:rPr>
              <w:t xml:space="preserve">. </w:t>
            </w:r>
            <w:r w:rsidR="00E936F5" w:rsidRPr="001D7AA6">
              <w:rPr>
                <w:i/>
                <w:sz w:val="20"/>
                <w:szCs w:val="20"/>
                <w:u w:val="single"/>
              </w:rPr>
              <w:t>The ultimate goal is that one day all athletes are engaged in ongoing wellness opportunities and healthy activities!</w:t>
            </w:r>
          </w:p>
        </w:tc>
      </w:tr>
      <w:tr w:rsidR="00C576A5" w:rsidRPr="00CF08E0" w:rsidTr="003C55DB">
        <w:trPr>
          <w:trHeight w:val="980"/>
        </w:trPr>
        <w:tc>
          <w:tcPr>
            <w:tcW w:w="165" w:type="pct"/>
            <w:shd w:val="clear" w:color="auto" w:fill="EBF1DE"/>
          </w:tcPr>
          <w:p w:rsidR="00C576A5" w:rsidRPr="00CF08E0" w:rsidRDefault="00C576A5" w:rsidP="003C55DB">
            <w:pPr>
              <w:rPr>
                <w:sz w:val="20"/>
                <w:szCs w:val="20"/>
              </w:rPr>
            </w:pPr>
            <w:r w:rsidRPr="00CF08E0">
              <w:rPr>
                <w:sz w:val="20"/>
                <w:szCs w:val="20"/>
              </w:rPr>
              <w:t>6</w:t>
            </w:r>
          </w:p>
        </w:tc>
        <w:tc>
          <w:tcPr>
            <w:tcW w:w="1711" w:type="pct"/>
            <w:shd w:val="clear" w:color="auto" w:fill="EBF1DE"/>
            <w:tcMar>
              <w:top w:w="0" w:type="dxa"/>
              <w:left w:w="108" w:type="dxa"/>
              <w:bottom w:w="0" w:type="dxa"/>
              <w:right w:w="108" w:type="dxa"/>
            </w:tcMar>
          </w:tcPr>
          <w:p w:rsidR="00C576A5" w:rsidRPr="00CF08E0" w:rsidRDefault="00C576A5" w:rsidP="003C55DB">
            <w:pPr>
              <w:rPr>
                <w:sz w:val="20"/>
                <w:szCs w:val="20"/>
              </w:rPr>
            </w:pPr>
            <w:r w:rsidRPr="00CF08E0">
              <w:rPr>
                <w:sz w:val="20"/>
                <w:szCs w:val="20"/>
              </w:rPr>
              <w:t>Sufficient sustainable resources to achieve the above criteria and deliver the project</w:t>
            </w:r>
            <w:r>
              <w:rPr>
                <w:sz w:val="20"/>
                <w:szCs w:val="20"/>
              </w:rPr>
              <w:t>.</w:t>
            </w:r>
          </w:p>
        </w:tc>
        <w:tc>
          <w:tcPr>
            <w:tcW w:w="3124" w:type="pct"/>
            <w:shd w:val="clear" w:color="auto" w:fill="EBF1DE"/>
          </w:tcPr>
          <w:p w:rsidR="00C576A5" w:rsidRDefault="00C576A5" w:rsidP="003C55DB">
            <w:pPr>
              <w:rPr>
                <w:sz w:val="20"/>
                <w:szCs w:val="20"/>
              </w:rPr>
            </w:pPr>
            <w:r w:rsidRPr="00CF08E0">
              <w:rPr>
                <w:sz w:val="20"/>
                <w:szCs w:val="20"/>
              </w:rPr>
              <w:t xml:space="preserve">Available staff and resources (including partners) necessary to </w:t>
            </w:r>
            <w:r>
              <w:rPr>
                <w:sz w:val="20"/>
                <w:szCs w:val="20"/>
              </w:rPr>
              <w:t xml:space="preserve">achieve the criteria going forward. </w:t>
            </w:r>
          </w:p>
          <w:p w:rsidR="00C576A5" w:rsidRPr="00CF08E0" w:rsidRDefault="00C576A5" w:rsidP="006B4172">
            <w:pPr>
              <w:rPr>
                <w:sz w:val="20"/>
                <w:szCs w:val="20"/>
              </w:rPr>
            </w:pPr>
            <w:r>
              <w:rPr>
                <w:sz w:val="20"/>
                <w:szCs w:val="20"/>
              </w:rPr>
              <w:t>Note: If a</w:t>
            </w:r>
            <w:r w:rsidR="001D7AA6">
              <w:rPr>
                <w:sz w:val="20"/>
                <w:szCs w:val="20"/>
              </w:rPr>
              <w:t>n SO</w:t>
            </w:r>
            <w:r>
              <w:rPr>
                <w:sz w:val="20"/>
                <w:szCs w:val="20"/>
              </w:rPr>
              <w:t xml:space="preserve"> Program is receiving a Healthy Communities grant, they need to be able to indicate how their work will be sustainable after the funding from SOI concludes. </w:t>
            </w:r>
          </w:p>
        </w:tc>
      </w:tr>
    </w:tbl>
    <w:p w:rsidR="00D81689" w:rsidRDefault="00D81689" w:rsidP="0091706F">
      <w:pPr>
        <w:autoSpaceDE w:val="0"/>
        <w:autoSpaceDN w:val="0"/>
        <w:adjustRightInd w:val="0"/>
      </w:pPr>
    </w:p>
    <w:sectPr w:rsidR="00D816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B8" w:rsidRDefault="006E09B8" w:rsidP="006E09B8">
      <w:pPr>
        <w:spacing w:after="0" w:line="240" w:lineRule="auto"/>
      </w:pPr>
      <w:r>
        <w:separator/>
      </w:r>
    </w:p>
  </w:endnote>
  <w:endnote w:type="continuationSeparator" w:id="0">
    <w:p w:rsidR="006E09B8" w:rsidRDefault="006E09B8" w:rsidP="006E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B8" w:rsidRDefault="006E09B8" w:rsidP="006E09B8">
      <w:pPr>
        <w:spacing w:after="0" w:line="240" w:lineRule="auto"/>
      </w:pPr>
      <w:r>
        <w:separator/>
      </w:r>
    </w:p>
  </w:footnote>
  <w:footnote w:type="continuationSeparator" w:id="0">
    <w:p w:rsidR="006E09B8" w:rsidRDefault="006E09B8" w:rsidP="006E0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DB"/>
    <w:rsid w:val="0002147D"/>
    <w:rsid w:val="0002542C"/>
    <w:rsid w:val="0008235C"/>
    <w:rsid w:val="0008757F"/>
    <w:rsid w:val="000B727A"/>
    <w:rsid w:val="000B7C32"/>
    <w:rsid w:val="001A214B"/>
    <w:rsid w:val="001A45C1"/>
    <w:rsid w:val="001D7AA6"/>
    <w:rsid w:val="001E7DDA"/>
    <w:rsid w:val="00264ADB"/>
    <w:rsid w:val="002D179A"/>
    <w:rsid w:val="002E07F6"/>
    <w:rsid w:val="00321C4E"/>
    <w:rsid w:val="00367ABA"/>
    <w:rsid w:val="003C55DB"/>
    <w:rsid w:val="003E5D3E"/>
    <w:rsid w:val="003F3563"/>
    <w:rsid w:val="0041736F"/>
    <w:rsid w:val="004449FC"/>
    <w:rsid w:val="00452348"/>
    <w:rsid w:val="0046454D"/>
    <w:rsid w:val="004E0013"/>
    <w:rsid w:val="00525885"/>
    <w:rsid w:val="0056754F"/>
    <w:rsid w:val="00616DF9"/>
    <w:rsid w:val="006B4172"/>
    <w:rsid w:val="006E09B8"/>
    <w:rsid w:val="006F5994"/>
    <w:rsid w:val="00720D22"/>
    <w:rsid w:val="00765F59"/>
    <w:rsid w:val="00776E8A"/>
    <w:rsid w:val="007D3BDC"/>
    <w:rsid w:val="007E3BF1"/>
    <w:rsid w:val="008E4F7E"/>
    <w:rsid w:val="0091706F"/>
    <w:rsid w:val="009511A4"/>
    <w:rsid w:val="00956EC8"/>
    <w:rsid w:val="009C2533"/>
    <w:rsid w:val="009F6CA7"/>
    <w:rsid w:val="00AD4BC0"/>
    <w:rsid w:val="00B239F8"/>
    <w:rsid w:val="00B90BBC"/>
    <w:rsid w:val="00BA1CBE"/>
    <w:rsid w:val="00C576A5"/>
    <w:rsid w:val="00CF08E0"/>
    <w:rsid w:val="00D410ED"/>
    <w:rsid w:val="00D81689"/>
    <w:rsid w:val="00DC32F5"/>
    <w:rsid w:val="00DE715E"/>
    <w:rsid w:val="00E6102D"/>
    <w:rsid w:val="00E721AD"/>
    <w:rsid w:val="00E87E32"/>
    <w:rsid w:val="00E936F5"/>
    <w:rsid w:val="00F06DA1"/>
    <w:rsid w:val="00F4089C"/>
    <w:rsid w:val="00FC7C47"/>
    <w:rsid w:val="00FE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3563"/>
    <w:rPr>
      <w:sz w:val="16"/>
      <w:szCs w:val="16"/>
    </w:rPr>
  </w:style>
  <w:style w:type="paragraph" w:styleId="CommentText">
    <w:name w:val="annotation text"/>
    <w:basedOn w:val="Normal"/>
    <w:link w:val="CommentTextChar"/>
    <w:uiPriority w:val="99"/>
    <w:unhideWhenUsed/>
    <w:rsid w:val="003F3563"/>
    <w:pPr>
      <w:spacing w:line="240" w:lineRule="auto"/>
    </w:pPr>
    <w:rPr>
      <w:sz w:val="20"/>
      <w:szCs w:val="20"/>
    </w:rPr>
  </w:style>
  <w:style w:type="character" w:customStyle="1" w:styleId="CommentTextChar">
    <w:name w:val="Comment Text Char"/>
    <w:basedOn w:val="DefaultParagraphFont"/>
    <w:link w:val="CommentText"/>
    <w:uiPriority w:val="99"/>
    <w:rsid w:val="003F3563"/>
    <w:rPr>
      <w:sz w:val="20"/>
      <w:szCs w:val="20"/>
    </w:rPr>
  </w:style>
  <w:style w:type="paragraph" w:styleId="CommentSubject">
    <w:name w:val="annotation subject"/>
    <w:basedOn w:val="CommentText"/>
    <w:next w:val="CommentText"/>
    <w:link w:val="CommentSubjectChar"/>
    <w:uiPriority w:val="99"/>
    <w:semiHidden/>
    <w:unhideWhenUsed/>
    <w:rsid w:val="003F3563"/>
    <w:rPr>
      <w:b/>
      <w:bCs/>
    </w:rPr>
  </w:style>
  <w:style w:type="character" w:customStyle="1" w:styleId="CommentSubjectChar">
    <w:name w:val="Comment Subject Char"/>
    <w:basedOn w:val="CommentTextChar"/>
    <w:link w:val="CommentSubject"/>
    <w:uiPriority w:val="99"/>
    <w:semiHidden/>
    <w:rsid w:val="003F3563"/>
    <w:rPr>
      <w:b/>
      <w:bCs/>
      <w:sz w:val="20"/>
      <w:szCs w:val="20"/>
    </w:rPr>
  </w:style>
  <w:style w:type="paragraph" w:styleId="BalloonText">
    <w:name w:val="Balloon Text"/>
    <w:basedOn w:val="Normal"/>
    <w:link w:val="BalloonTextChar"/>
    <w:uiPriority w:val="99"/>
    <w:semiHidden/>
    <w:unhideWhenUsed/>
    <w:rsid w:val="003F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563"/>
    <w:rPr>
      <w:rFonts w:ascii="Tahoma" w:hAnsi="Tahoma" w:cs="Tahoma"/>
      <w:sz w:val="16"/>
      <w:szCs w:val="16"/>
    </w:rPr>
  </w:style>
  <w:style w:type="paragraph" w:styleId="Revision">
    <w:name w:val="Revision"/>
    <w:hidden/>
    <w:uiPriority w:val="99"/>
    <w:semiHidden/>
    <w:rsid w:val="007E3BF1"/>
    <w:pPr>
      <w:spacing w:after="0" w:line="240" w:lineRule="auto"/>
    </w:pPr>
  </w:style>
  <w:style w:type="paragraph" w:styleId="Header">
    <w:name w:val="header"/>
    <w:basedOn w:val="Normal"/>
    <w:link w:val="HeaderChar"/>
    <w:uiPriority w:val="99"/>
    <w:unhideWhenUsed/>
    <w:rsid w:val="006E0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9B8"/>
  </w:style>
  <w:style w:type="paragraph" w:styleId="Footer">
    <w:name w:val="footer"/>
    <w:basedOn w:val="Normal"/>
    <w:link w:val="FooterChar"/>
    <w:uiPriority w:val="99"/>
    <w:unhideWhenUsed/>
    <w:rsid w:val="006E0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3563"/>
    <w:rPr>
      <w:sz w:val="16"/>
      <w:szCs w:val="16"/>
    </w:rPr>
  </w:style>
  <w:style w:type="paragraph" w:styleId="CommentText">
    <w:name w:val="annotation text"/>
    <w:basedOn w:val="Normal"/>
    <w:link w:val="CommentTextChar"/>
    <w:uiPriority w:val="99"/>
    <w:unhideWhenUsed/>
    <w:rsid w:val="003F3563"/>
    <w:pPr>
      <w:spacing w:line="240" w:lineRule="auto"/>
    </w:pPr>
    <w:rPr>
      <w:sz w:val="20"/>
      <w:szCs w:val="20"/>
    </w:rPr>
  </w:style>
  <w:style w:type="character" w:customStyle="1" w:styleId="CommentTextChar">
    <w:name w:val="Comment Text Char"/>
    <w:basedOn w:val="DefaultParagraphFont"/>
    <w:link w:val="CommentText"/>
    <w:uiPriority w:val="99"/>
    <w:rsid w:val="003F3563"/>
    <w:rPr>
      <w:sz w:val="20"/>
      <w:szCs w:val="20"/>
    </w:rPr>
  </w:style>
  <w:style w:type="paragraph" w:styleId="CommentSubject">
    <w:name w:val="annotation subject"/>
    <w:basedOn w:val="CommentText"/>
    <w:next w:val="CommentText"/>
    <w:link w:val="CommentSubjectChar"/>
    <w:uiPriority w:val="99"/>
    <w:semiHidden/>
    <w:unhideWhenUsed/>
    <w:rsid w:val="003F3563"/>
    <w:rPr>
      <w:b/>
      <w:bCs/>
    </w:rPr>
  </w:style>
  <w:style w:type="character" w:customStyle="1" w:styleId="CommentSubjectChar">
    <w:name w:val="Comment Subject Char"/>
    <w:basedOn w:val="CommentTextChar"/>
    <w:link w:val="CommentSubject"/>
    <w:uiPriority w:val="99"/>
    <w:semiHidden/>
    <w:rsid w:val="003F3563"/>
    <w:rPr>
      <w:b/>
      <w:bCs/>
      <w:sz w:val="20"/>
      <w:szCs w:val="20"/>
    </w:rPr>
  </w:style>
  <w:style w:type="paragraph" w:styleId="BalloonText">
    <w:name w:val="Balloon Text"/>
    <w:basedOn w:val="Normal"/>
    <w:link w:val="BalloonTextChar"/>
    <w:uiPriority w:val="99"/>
    <w:semiHidden/>
    <w:unhideWhenUsed/>
    <w:rsid w:val="003F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563"/>
    <w:rPr>
      <w:rFonts w:ascii="Tahoma" w:hAnsi="Tahoma" w:cs="Tahoma"/>
      <w:sz w:val="16"/>
      <w:szCs w:val="16"/>
    </w:rPr>
  </w:style>
  <w:style w:type="paragraph" w:styleId="Revision">
    <w:name w:val="Revision"/>
    <w:hidden/>
    <w:uiPriority w:val="99"/>
    <w:semiHidden/>
    <w:rsid w:val="007E3BF1"/>
    <w:pPr>
      <w:spacing w:after="0" w:line="240" w:lineRule="auto"/>
    </w:pPr>
  </w:style>
  <w:style w:type="paragraph" w:styleId="Header">
    <w:name w:val="header"/>
    <w:basedOn w:val="Normal"/>
    <w:link w:val="HeaderChar"/>
    <w:uiPriority w:val="99"/>
    <w:unhideWhenUsed/>
    <w:rsid w:val="006E0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9B8"/>
  </w:style>
  <w:style w:type="paragraph" w:styleId="Footer">
    <w:name w:val="footer"/>
    <w:basedOn w:val="Normal"/>
    <w:link w:val="FooterChar"/>
    <w:uiPriority w:val="99"/>
    <w:unhideWhenUsed/>
    <w:rsid w:val="006E0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Hughes</dc:creator>
  <cp:lastModifiedBy>Kristin Hughes</cp:lastModifiedBy>
  <cp:revision>3</cp:revision>
  <dcterms:created xsi:type="dcterms:W3CDTF">2016-04-22T14:59:00Z</dcterms:created>
  <dcterms:modified xsi:type="dcterms:W3CDTF">2016-05-03T13:51:00Z</dcterms:modified>
</cp:coreProperties>
</file>